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0C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jc w:val="center"/>
        <w:textAlignment w:val="auto"/>
        <w:rPr>
          <w:rFonts w:hint="eastAsia" w:ascii="方正小标宋简体" w:hAnsi="方正小标宋简体" w:eastAsia="方正小标宋简体" w:cs="方正公文小标宋"/>
          <w:color w:val="auto"/>
          <w:sz w:val="44"/>
          <w:szCs w:val="44"/>
          <w:highlight w:val="none"/>
        </w:rPr>
      </w:pPr>
    </w:p>
    <w:p w14:paraId="1BDAA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jc w:val="center"/>
        <w:textAlignment w:val="auto"/>
        <w:rPr>
          <w:rFonts w:hint="eastAsia" w:ascii="方正小标宋简体" w:hAnsi="方正小标宋简体" w:eastAsia="方正小标宋简体" w:cs="方正公文小标宋"/>
          <w:color w:val="auto"/>
          <w:sz w:val="48"/>
          <w:szCs w:val="48"/>
          <w:highlight w:val="none"/>
        </w:rPr>
      </w:pPr>
      <w:r>
        <w:rPr>
          <w:rFonts w:hint="eastAsia" w:ascii="方正小标宋简体" w:hAnsi="方正小标宋简体" w:eastAsia="方正小标宋简体" w:cs="方正公文小标宋"/>
          <w:color w:val="auto"/>
          <w:sz w:val="48"/>
          <w:szCs w:val="48"/>
          <w:highlight w:val="none"/>
        </w:rPr>
        <w:t>灵智江城-赛博龙虾｜长江岸创</w:t>
      </w:r>
      <w:r>
        <w:rPr>
          <w:rFonts w:hint="eastAsia" w:ascii="方正小标宋简体" w:hAnsi="方正小标宋简体" w:eastAsia="方正小标宋简体" w:cs="方正公文小标宋"/>
          <w:color w:val="auto"/>
          <w:sz w:val="48"/>
          <w:szCs w:val="48"/>
          <w:highlight w:val="none"/>
          <w:lang w:val="en-US" w:eastAsia="zh-CN"/>
        </w:rPr>
        <w:t>·</w:t>
      </w:r>
      <w:r>
        <w:rPr>
          <w:rFonts w:hint="eastAsia" w:ascii="方正小标宋简体" w:hAnsi="方正小标宋简体" w:eastAsia="方正小标宋简体" w:cs="方正公文小标宋"/>
          <w:color w:val="auto"/>
          <w:sz w:val="48"/>
          <w:szCs w:val="48"/>
          <w:highlight w:val="none"/>
        </w:rPr>
        <w:t>智能体</w:t>
      </w:r>
    </w:p>
    <w:p w14:paraId="652BD8FB">
      <w:pPr>
        <w:snapToGrid w:val="0"/>
        <w:spacing w:line="276" w:lineRule="auto"/>
        <w:jc w:val="center"/>
        <w:rPr>
          <w:rFonts w:hint="default" w:ascii="黑体" w:hAnsi="黑体" w:eastAsia="黑体" w:cs="黑体"/>
          <w:sz w:val="48"/>
          <w:szCs w:val="48"/>
          <w:lang w:val="en-US" w:eastAsia="zh-CN"/>
        </w:rPr>
      </w:pPr>
      <w:r>
        <w:rPr>
          <w:rFonts w:hint="eastAsia" w:ascii="方正小标宋简体" w:hAnsi="方正小标宋简体" w:eastAsia="方正小标宋简体" w:cs="方正公文小标宋"/>
          <w:color w:val="auto"/>
          <w:sz w:val="48"/>
          <w:szCs w:val="48"/>
          <w:highlight w:val="none"/>
        </w:rPr>
        <w:t>创新大赛</w:t>
      </w:r>
      <w:r>
        <w:rPr>
          <w:rFonts w:hint="eastAsia" w:ascii="方正小标宋简体" w:hAnsi="方正小标宋简体" w:eastAsia="方正小标宋简体" w:cs="方正公文小标宋"/>
          <w:color w:val="auto"/>
          <w:sz w:val="48"/>
          <w:szCs w:val="48"/>
          <w:highlight w:val="none"/>
          <w:lang w:val="en-US" w:eastAsia="zh-CN"/>
        </w:rPr>
        <w:t>报名表</w:t>
      </w:r>
    </w:p>
    <w:p w14:paraId="2DCE3206">
      <w:pPr>
        <w:jc w:val="center"/>
      </w:pPr>
    </w:p>
    <w:p w14:paraId="2D4757B3">
      <w:pPr>
        <w:jc w:val="center"/>
      </w:pPr>
    </w:p>
    <w:p w14:paraId="03546E2C">
      <w:pPr>
        <w:jc w:val="center"/>
      </w:pPr>
    </w:p>
    <w:p w14:paraId="2062D38D">
      <w:pPr>
        <w:jc w:val="center"/>
      </w:pPr>
    </w:p>
    <w:p w14:paraId="5DF0A200">
      <w:pPr>
        <w:jc w:val="center"/>
      </w:pPr>
    </w:p>
    <w:p w14:paraId="274E7FCC">
      <w:pPr>
        <w:jc w:val="center"/>
      </w:pPr>
    </w:p>
    <w:p w14:paraId="483BFCBE">
      <w:pPr>
        <w:jc w:val="center"/>
      </w:pPr>
    </w:p>
    <w:p w14:paraId="369BD9CB">
      <w:pPr>
        <w:jc w:val="center"/>
      </w:pPr>
    </w:p>
    <w:p w14:paraId="69FC42EB">
      <w:pPr>
        <w:jc w:val="center"/>
      </w:pPr>
    </w:p>
    <w:p w14:paraId="0807FBA7">
      <w:pPr>
        <w:widowControl/>
        <w:tabs>
          <w:tab w:val="left" w:pos="3570"/>
          <w:tab w:val="right" w:pos="7140"/>
        </w:tabs>
        <w:spacing w:before="156" w:beforeLines="50" w:line="480" w:lineRule="auto"/>
        <w:ind w:firstLine="2100" w:firstLineChars="700"/>
        <w:jc w:val="left"/>
        <w:rPr>
          <w:rFonts w:ascii="黑体" w:hAnsi="黑体" w:eastAsia="黑体"/>
          <w:sz w:val="30"/>
          <w:szCs w:val="30"/>
          <w:u w:val="single"/>
        </w:rPr>
      </w:pPr>
      <w:r>
        <w:rPr>
          <w:rFonts w:hint="eastAsia" w:ascii="黑体" w:hAnsi="黑体" w:eastAsia="黑体"/>
          <w:sz w:val="30"/>
          <w:szCs w:val="30"/>
          <w:lang w:val="en-US" w:eastAsia="zh-CN"/>
        </w:rPr>
        <w:t>项目名称 ： DemoGo（试用链接生成与部署平台）</w:t>
      </w:r>
      <w:r>
        <w:rPr>
          <w:rFonts w:hint="eastAsia" w:ascii="黑体" w:hAnsi="黑体" w:eastAsia="黑体"/>
          <w:sz w:val="30"/>
          <w:szCs w:val="30"/>
        </w:rPr>
      </w:r>
      <w:r>
        <w:rPr>
          <w:rFonts w:hint="eastAsia" w:ascii="黑体" w:hAnsi="黑体" w:eastAsia="黑体"/>
          <w:sz w:val="30"/>
          <w:szCs w:val="30"/>
          <w:u w:val="single"/>
        </w:rPr>
      </w:r>
      <w:r>
        <w:rPr>
          <w:rFonts w:hint="eastAsia" w:ascii="黑体" w:hAnsi="黑体" w:eastAsia="黑体"/>
          <w:sz w:val="30"/>
          <w:szCs w:val="30"/>
          <w:u w:val="single"/>
        </w:rPr>
      </w:r>
      <w:r>
        <w:rPr>
          <w:rFonts w:hint="eastAsia" w:ascii="黑体" w:hAnsi="黑体" w:eastAsia="黑体"/>
          <w:sz w:val="30"/>
          <w:szCs w:val="30"/>
        </w:rPr>
      </w:r>
      <w:r>
        <w:rPr>
          <w:rFonts w:hint="eastAsia" w:ascii="黑体" w:hAnsi="黑体" w:eastAsia="黑体"/>
          <w:sz w:val="30"/>
          <w:szCs w:val="30"/>
        </w:rPr>
      </w:r>
    </w:p>
    <w:p w14:paraId="1D2A691F">
      <w:pPr>
        <w:widowControl/>
        <w:tabs>
          <w:tab w:val="left" w:pos="3570"/>
          <w:tab w:val="right" w:pos="7140"/>
        </w:tabs>
        <w:spacing w:before="156" w:beforeLines="50" w:line="480" w:lineRule="auto"/>
        <w:ind w:firstLine="2100" w:firstLineChars="700"/>
        <w:jc w:val="left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  <w:lang w:val="en-US" w:eastAsia="zh-CN"/>
        </w:rPr>
        <w:t>参赛赛道 ：  □ 技术挑战类  ☑ 场景落地类</w:t>
      </w:r>
      <w:r>
        <w:rPr>
          <w:rFonts w:hint="eastAsia" w:ascii="黑体" w:hAnsi="黑体" w:eastAsia="黑体"/>
          <w:sz w:val="30"/>
          <w:szCs w:val="30"/>
        </w:rPr>
      </w:r>
      <w:r>
        <w:rPr>
          <w:rFonts w:hint="eastAsia" w:ascii="黑体" w:hAnsi="黑体" w:eastAsia="黑体"/>
          <w:sz w:val="30"/>
          <w:szCs w:val="30"/>
          <w:u w:val="single"/>
        </w:rPr>
      </w:r>
      <w:r>
        <w:rPr>
          <w:rFonts w:hint="eastAsia" w:ascii="黑体" w:hAnsi="黑体" w:eastAsia="黑体"/>
          <w:sz w:val="30"/>
          <w:szCs w:val="30"/>
          <w:u w:val="single"/>
          <w:lang w:val="en-US" w:eastAsia="zh-CN"/>
        </w:rPr>
      </w:r>
      <w:r>
        <w:rPr>
          <w:rFonts w:hint="eastAsia"/>
          <w:color w:val="auto"/>
          <w:u w:val="single"/>
          <w:vertAlign w:val="baseline"/>
          <w:lang w:val="en-US" w:eastAsia="zh-CN"/>
        </w:rPr>
      </w:r>
      <w:r>
        <w:rPr>
          <w:rFonts w:hint="eastAsia" w:ascii="黑体" w:hAnsi="黑体" w:eastAsia="黑体"/>
          <w:sz w:val="30"/>
          <w:szCs w:val="30"/>
        </w:rPr>
      </w:r>
    </w:p>
    <w:p w14:paraId="54B925CC">
      <w:pPr>
        <w:widowControl/>
        <w:tabs>
          <w:tab w:val="left" w:pos="3570"/>
          <w:tab w:val="right" w:pos="7140"/>
        </w:tabs>
        <w:spacing w:before="156" w:beforeLines="50" w:line="480" w:lineRule="auto"/>
        <w:ind w:firstLine="2100" w:firstLineChars="700"/>
        <w:jc w:val="left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  <w:lang w:val="en-US" w:eastAsia="zh-CN"/>
        </w:rPr>
        <w:t>申报单位/团队：DemoGo（OPC 企业）/ 古伟</w:t>
      </w:r>
      <w:r>
        <w:rPr>
          <w:rFonts w:hint="eastAsia" w:ascii="黑体" w:hAnsi="黑体" w:eastAsia="黑体"/>
          <w:sz w:val="30"/>
          <w:szCs w:val="30"/>
          <w:u w:val="single"/>
          <w:lang w:val="en-US" w:eastAsia="zh-CN"/>
        </w:rPr>
      </w:r>
      <w:r>
        <w:rPr>
          <w:rFonts w:ascii="黑体" w:hAnsi="黑体" w:eastAsia="黑体"/>
          <w:sz w:val="30"/>
          <w:szCs w:val="30"/>
        </w:rPr>
      </w:r>
    </w:p>
    <w:p w14:paraId="7D18E232">
      <w:pPr>
        <w:widowControl/>
        <w:tabs>
          <w:tab w:val="left" w:pos="3570"/>
          <w:tab w:val="right" w:pos="7140"/>
        </w:tabs>
        <w:spacing w:before="156" w:beforeLines="50" w:line="480" w:lineRule="auto"/>
        <w:ind w:firstLine="2100" w:firstLineChars="700"/>
        <w:jc w:val="left"/>
        <w:rPr>
          <w:rFonts w:ascii="黑体" w:hAnsi="黑体" w:eastAsia="黑体"/>
          <w:sz w:val="30"/>
          <w:szCs w:val="30"/>
          <w:u w:val="single"/>
        </w:rPr>
      </w:pPr>
      <w:r>
        <w:rPr>
          <w:rFonts w:hint="eastAsia" w:ascii="黑体" w:hAnsi="黑体" w:eastAsia="黑体"/>
          <w:sz w:val="30"/>
          <w:szCs w:val="30"/>
          <w:lang w:val="en-US" w:eastAsia="zh-CN"/>
        </w:rPr>
        <w:t>联系人 ： 古伟</w:t>
      </w:r>
      <w:r>
        <w:rPr>
          <w:rFonts w:hint="eastAsia" w:ascii="黑体" w:hAnsi="黑体" w:eastAsia="黑体"/>
          <w:sz w:val="30"/>
          <w:szCs w:val="30"/>
        </w:rPr>
      </w:r>
      <w:r>
        <w:rPr>
          <w:rFonts w:hint="eastAsia" w:ascii="黑体" w:hAnsi="黑体" w:eastAsia="黑体"/>
          <w:sz w:val="30"/>
          <w:szCs w:val="30"/>
          <w:u w:val="single"/>
        </w:rPr>
      </w:r>
      <w:r>
        <w:rPr>
          <w:rFonts w:hint="eastAsia" w:ascii="黑体" w:hAnsi="黑体" w:eastAsia="黑体"/>
          <w:sz w:val="30"/>
          <w:szCs w:val="30"/>
          <w:u w:val="single"/>
        </w:rPr>
      </w:r>
      <w:r>
        <w:rPr>
          <w:rFonts w:ascii="黑体" w:hAnsi="黑体" w:eastAsia="黑体"/>
          <w:sz w:val="30"/>
          <w:szCs w:val="30"/>
        </w:rPr>
      </w:r>
    </w:p>
    <w:p w14:paraId="5463893D">
      <w:pPr>
        <w:widowControl/>
        <w:tabs>
          <w:tab w:val="left" w:pos="3570"/>
          <w:tab w:val="right" w:pos="7140"/>
        </w:tabs>
        <w:spacing w:before="156" w:beforeLines="50" w:line="480" w:lineRule="auto"/>
        <w:ind w:firstLine="2100" w:firstLineChars="700"/>
        <w:jc w:val="left"/>
        <w:rPr>
          <w:rFonts w:hint="eastAsia" w:ascii="黑体" w:hAnsi="黑体" w:eastAsia="黑体"/>
          <w:sz w:val="30"/>
          <w:szCs w:val="30"/>
          <w:u w:val="single"/>
        </w:rPr>
      </w:pPr>
      <w:r>
        <w:rPr>
          <w:rFonts w:hint="eastAsia" w:ascii="黑体" w:hAnsi="黑体" w:eastAsia="黑体"/>
          <w:sz w:val="30"/>
          <w:szCs w:val="30"/>
          <w:lang w:val="en-US" w:eastAsia="zh-CN"/>
        </w:rPr>
        <w:t>联系电话：（请补充）</w:t>
      </w:r>
      <w:r>
        <w:rPr>
          <w:rFonts w:hint="eastAsia" w:ascii="黑体" w:hAnsi="黑体" w:eastAsia="黑体"/>
          <w:sz w:val="30"/>
          <w:szCs w:val="30"/>
        </w:rPr>
      </w:r>
      <w:r>
        <w:rPr>
          <w:rFonts w:hint="eastAsia" w:ascii="黑体" w:hAnsi="黑体" w:eastAsia="黑体"/>
          <w:sz w:val="30"/>
          <w:szCs w:val="30"/>
          <w:u w:val="single"/>
        </w:rPr>
      </w:r>
      <w:r>
        <w:rPr>
          <w:rFonts w:hint="eastAsia" w:ascii="黑体" w:hAnsi="黑体" w:eastAsia="黑体"/>
          <w:sz w:val="30"/>
          <w:szCs w:val="30"/>
          <w:u w:val="single"/>
        </w:rPr>
      </w:r>
    </w:p>
    <w:p w14:paraId="5C1B1102">
      <w:pPr>
        <w:widowControl/>
        <w:tabs>
          <w:tab w:val="left" w:pos="3570"/>
          <w:tab w:val="right" w:pos="7140"/>
        </w:tabs>
        <w:spacing w:before="156" w:beforeLines="50" w:line="480" w:lineRule="auto"/>
        <w:ind w:firstLine="2100" w:firstLineChars="700"/>
        <w:jc w:val="left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  <w:u w:val="none"/>
          <w:lang w:val="en-US" w:eastAsia="zh-CN"/>
        </w:rPr>
        <w:t>申报日期：2026 年 6 月</w:t>
      </w:r>
      <w:r>
        <w:rPr>
          <w:rFonts w:hint="eastAsia" w:ascii="黑体" w:hAnsi="黑体" w:eastAsia="黑体"/>
          <w:sz w:val="30"/>
          <w:szCs w:val="30"/>
          <w:u w:val="single"/>
          <w:lang w:val="en-US" w:eastAsia="zh-CN"/>
        </w:rPr>
      </w:r>
      <w:r>
        <w:rPr>
          <w:rFonts w:ascii="黑体" w:hAnsi="黑体" w:eastAsia="黑体"/>
          <w:sz w:val="30"/>
          <w:szCs w:val="30"/>
        </w:rPr>
      </w:r>
    </w:p>
    <w:p w14:paraId="6C68A9E2">
      <w:pPr>
        <w:widowControl/>
        <w:tabs>
          <w:tab w:val="left" w:pos="3570"/>
          <w:tab w:val="right" w:pos="7140"/>
        </w:tabs>
        <w:ind w:leftChars="-67" w:hanging="141" w:hangingChars="47"/>
        <w:jc w:val="center"/>
        <w:rPr>
          <w:rFonts w:ascii="黑体" w:hAnsi="黑体" w:eastAsia="黑体"/>
          <w:sz w:val="30"/>
          <w:szCs w:val="30"/>
        </w:rPr>
      </w:pPr>
    </w:p>
    <w:p w14:paraId="03E71B70">
      <w:pPr>
        <w:widowControl/>
        <w:tabs>
          <w:tab w:val="left" w:pos="3570"/>
          <w:tab w:val="right" w:pos="7140"/>
        </w:tabs>
        <w:ind w:leftChars="-67" w:hanging="141" w:hangingChars="47"/>
        <w:jc w:val="center"/>
        <w:rPr>
          <w:rFonts w:ascii="黑体" w:hAnsi="黑体" w:eastAsia="黑体"/>
          <w:sz w:val="30"/>
          <w:szCs w:val="30"/>
        </w:rPr>
      </w:pPr>
    </w:p>
    <w:p w14:paraId="258E1233">
      <w:pPr>
        <w:widowControl/>
        <w:tabs>
          <w:tab w:val="left" w:pos="3570"/>
          <w:tab w:val="right" w:pos="7140"/>
        </w:tabs>
        <w:ind w:leftChars="-67" w:hanging="141" w:hangingChars="47"/>
        <w:jc w:val="center"/>
        <w:rPr>
          <w:rFonts w:ascii="黑体" w:hAnsi="黑体" w:eastAsia="黑体"/>
          <w:sz w:val="30"/>
          <w:szCs w:val="30"/>
        </w:rPr>
      </w:pPr>
    </w:p>
    <w:p w14:paraId="5ACE8792">
      <w:pPr>
        <w:widowControl/>
        <w:tabs>
          <w:tab w:val="left" w:pos="3570"/>
          <w:tab w:val="right" w:pos="7140"/>
        </w:tabs>
        <w:ind w:leftChars="-67" w:hanging="141" w:hangingChars="47"/>
        <w:jc w:val="center"/>
        <w:rPr>
          <w:rFonts w:ascii="黑体" w:hAnsi="黑体" w:eastAsia="黑体"/>
          <w:sz w:val="30"/>
          <w:szCs w:val="30"/>
        </w:rPr>
      </w:pPr>
    </w:p>
    <w:p w14:paraId="14BD9A40">
      <w:pPr>
        <w:widowControl/>
        <w:tabs>
          <w:tab w:val="left" w:pos="3570"/>
          <w:tab w:val="right" w:pos="7140"/>
        </w:tabs>
        <w:jc w:val="center"/>
        <w:rPr>
          <w:rFonts w:hint="eastAsia" w:ascii="黑体" w:hAnsi="黑体" w:eastAsia="黑体"/>
          <w:sz w:val="30"/>
          <w:szCs w:val="30"/>
        </w:rPr>
      </w:pPr>
    </w:p>
    <w:tbl>
      <w:tblPr>
        <w:tblStyle w:val="10"/>
        <w:tblW w:w="89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1"/>
        <w:gridCol w:w="2669"/>
        <w:gridCol w:w="1967"/>
        <w:gridCol w:w="2403"/>
      </w:tblGrid>
      <w:tr w14:paraId="0F4A1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940" w:type="dxa"/>
            <w:gridSpan w:val="4"/>
            <w:vAlign w:val="center"/>
          </w:tcPr>
          <w:p w14:paraId="1B3E9F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eastAsiaTheme="minor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文星黑体" w:hAnsi="文星黑体" w:eastAsia="文星黑体" w:cs="文星黑体"/>
                <w:color w:val="auto"/>
                <w:sz w:val="28"/>
                <w:szCs w:val="28"/>
                <w:vertAlign w:val="baseline"/>
                <w:lang w:val="en-US" w:eastAsia="zh-CN"/>
              </w:rPr>
              <w:t>一、企业（团队）基本信息</w:t>
            </w:r>
          </w:p>
        </w:tc>
      </w:tr>
      <w:tr w14:paraId="63FB2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exact"/>
        </w:trPr>
        <w:tc>
          <w:tcPr>
            <w:tcW w:w="1901" w:type="dxa"/>
            <w:vAlign w:val="center"/>
          </w:tcPr>
          <w:p w14:paraId="48F2C8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企业（团队）名称</w:t>
            </w:r>
          </w:p>
        </w:tc>
        <w:tc>
          <w:tcPr>
            <w:tcW w:w="2669" w:type="dxa"/>
            <w:vAlign w:val="center"/>
          </w:tcPr>
          <w:p w14:paraId="1804DB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DemoGo（武汉市·OPC 企业）</w:t>
            </w:r>
          </w:p>
          <w:p w14:paraId="049DE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r>
            <w:r>
              <w:rPr>
                <w:rFonts w:hint="eastAsia" w:asciiTheme="minorEastAsia" w:hAnsi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r>
            <w:r>
              <w:rPr>
                <w:rFonts w:hint="eastAsia" w:asciiTheme="minorEastAsia" w:hAnsi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r>
          </w:p>
        </w:tc>
        <w:tc>
          <w:tcPr>
            <w:tcW w:w="1967" w:type="dxa"/>
            <w:vAlign w:val="center"/>
          </w:tcPr>
          <w:p w14:paraId="0497FC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统一社会信用代码</w:t>
            </w:r>
          </w:p>
        </w:tc>
        <w:tc>
          <w:tcPr>
            <w:tcW w:w="2403" w:type="dxa"/>
            <w:vAlign w:val="center"/>
          </w:tcPr>
          <w:p w14:paraId="1E016E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t>（请补充统一社会信用代码）</w:t>
            </w:r>
          </w:p>
        </w:tc>
      </w:tr>
      <w:tr w14:paraId="72419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exact"/>
        </w:trPr>
        <w:tc>
          <w:tcPr>
            <w:tcW w:w="1901" w:type="dxa"/>
            <w:vAlign w:val="center"/>
          </w:tcPr>
          <w:p w14:paraId="1A7C85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注册时间</w:t>
            </w:r>
          </w:p>
        </w:tc>
        <w:tc>
          <w:tcPr>
            <w:tcW w:w="2669" w:type="dxa"/>
            <w:vAlign w:val="center"/>
          </w:tcPr>
          <w:p w14:paraId="674835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t>2024 年</w:t>
            </w:r>
          </w:p>
        </w:tc>
        <w:tc>
          <w:tcPr>
            <w:tcW w:w="1967" w:type="dxa"/>
            <w:vAlign w:val="center"/>
          </w:tcPr>
          <w:p w14:paraId="264D63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注册地址</w:t>
            </w:r>
          </w:p>
        </w:tc>
        <w:tc>
          <w:tcPr>
            <w:tcW w:w="2403" w:type="dxa"/>
            <w:vAlign w:val="center"/>
          </w:tcPr>
          <w:p w14:paraId="42021E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t>武汉市江岸区</w:t>
            </w:r>
          </w:p>
        </w:tc>
      </w:tr>
      <w:tr w14:paraId="3A32D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exact"/>
        </w:trPr>
        <w:tc>
          <w:tcPr>
            <w:tcW w:w="1901" w:type="dxa"/>
            <w:vAlign w:val="center"/>
          </w:tcPr>
          <w:p w14:paraId="69480D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企业类型</w:t>
            </w:r>
          </w:p>
        </w:tc>
        <w:tc>
          <w:tcPr>
            <w:tcW w:w="7039" w:type="dxa"/>
            <w:gridSpan w:val="3"/>
            <w:vAlign w:val="center"/>
          </w:tcPr>
          <w:p w14:paraId="132F0A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 xml:space="preserve">□ 民营企业      □ 高校 / 科研院所团队 </w:t>
              <w:br/>
              <w:t>□ 个人开发者    ☑ OPC 一人公司        □ 其他</w:t>
            </w:r>
          </w:p>
          <w:p w14:paraId="7A91DE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u w:val="single"/>
                <w:vertAlign w:val="baseline"/>
                <w:lang w:val="en-US" w:eastAsia="zh-CN"/>
              </w:rPr>
            </w:r>
          </w:p>
        </w:tc>
      </w:tr>
      <w:tr w14:paraId="65474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exact"/>
        </w:trPr>
        <w:tc>
          <w:tcPr>
            <w:tcW w:w="1901" w:type="dxa"/>
            <w:vAlign w:val="center"/>
          </w:tcPr>
          <w:p w14:paraId="4AFC6E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注册资本</w:t>
            </w:r>
          </w:p>
        </w:tc>
        <w:tc>
          <w:tcPr>
            <w:tcW w:w="2669" w:type="dxa"/>
            <w:vAlign w:val="center"/>
          </w:tcPr>
          <w:p w14:paraId="6A6CAB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890" w:firstLineChars="90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（请补充）</w:t>
            </w:r>
          </w:p>
        </w:tc>
        <w:tc>
          <w:tcPr>
            <w:tcW w:w="1967" w:type="dxa"/>
            <w:vAlign w:val="center"/>
          </w:tcPr>
          <w:p w14:paraId="005469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实缴资本</w:t>
            </w:r>
          </w:p>
        </w:tc>
        <w:tc>
          <w:tcPr>
            <w:tcW w:w="2403" w:type="dxa"/>
            <w:vAlign w:val="center"/>
          </w:tcPr>
          <w:p w14:paraId="26B55B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1680" w:firstLineChars="80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（请补充）</w:t>
            </w:r>
          </w:p>
        </w:tc>
      </w:tr>
      <w:tr w14:paraId="0C3B8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exact"/>
        </w:trPr>
        <w:tc>
          <w:tcPr>
            <w:tcW w:w="1901" w:type="dxa"/>
            <w:vAlign w:val="center"/>
          </w:tcPr>
          <w:p w14:paraId="723458B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exact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股权结构（穿透后）</w:t>
            </w:r>
          </w:p>
        </w:tc>
        <w:tc>
          <w:tcPr>
            <w:tcW w:w="7039" w:type="dxa"/>
            <w:gridSpan w:val="3"/>
            <w:vAlign w:val="center"/>
          </w:tcPr>
          <w:p w14:paraId="5EA60B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exact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创始人 / 实控人：古伟，持股 100%，实缴（请补充）万元</w:t>
              <w:br/>
              <w:t>核心团队：古伟（单人创业），持股 100%</w:t>
              <w:br/>
              <w:t>外部股东：无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u w:val="single"/>
                <w:vertAlign w:val="baseline"/>
                <w:lang w:val="en-US" w:eastAsia="zh-CN"/>
              </w:rPr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u w:val="single"/>
                <w:vertAlign w:val="baseline"/>
                <w:lang w:val="en-US" w:eastAsia="zh-CN"/>
              </w:rPr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u w:val="single"/>
                <w:vertAlign w:val="baseline"/>
                <w:lang w:val="en-US" w:eastAsia="zh-CN"/>
              </w:rPr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r>
          </w:p>
          <w:p w14:paraId="4D107C4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exact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u w:val="single"/>
                <w:vertAlign w:val="baseline"/>
                <w:lang w:val="en-US" w:eastAsia="zh-CN"/>
              </w:rPr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u w:val="single"/>
                <w:vertAlign w:val="baseline"/>
                <w:lang w:val="en-US" w:eastAsia="zh-CN"/>
              </w:rPr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r>
          </w:p>
          <w:p w14:paraId="1038A8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exact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u w:val="single"/>
                <w:vertAlign w:val="baseline"/>
                <w:lang w:val="en-US" w:eastAsia="zh-CN"/>
              </w:rPr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u w:val="none"/>
                <w:vertAlign w:val="baseline"/>
                <w:lang w:val="en-US" w:eastAsia="zh-CN"/>
              </w:rPr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u w:val="single"/>
                <w:vertAlign w:val="baseline"/>
                <w:lang w:val="en-US" w:eastAsia="zh-CN"/>
              </w:rPr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</w:r>
          </w:p>
        </w:tc>
      </w:tr>
      <w:tr w14:paraId="4E530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4" w:hRule="exact"/>
        </w:trPr>
        <w:tc>
          <w:tcPr>
            <w:tcW w:w="1901" w:type="dxa"/>
            <w:vAlign w:val="center"/>
          </w:tcPr>
          <w:p w14:paraId="6DACEB4A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核心团队/</w:t>
            </w:r>
          </w:p>
          <w:p w14:paraId="37216AF6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成员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简介</w:t>
            </w:r>
          </w:p>
        </w:tc>
        <w:tc>
          <w:tcPr>
            <w:tcW w:w="7039" w:type="dxa"/>
            <w:gridSpan w:val="3"/>
            <w:vAlign w:val="center"/>
          </w:tcPr>
          <w:p w14:paraId="1F7A216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00" w:lineRule="exact"/>
              <w:ind w:right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古伟，创始人兼 CEO，10 年 IT 咨询经验。现任中部数据流通服务中心（武汉数据交易所体系）负责人，专注数字化转型与数据资产化。AI 深度用户与研究者，长期关注 AI 编程工具生态，独立主导 DemoGo 的产品设计、技术方向与商业运营全盘工作。</w:t>
            </w:r>
          </w:p>
        </w:tc>
      </w:tr>
      <w:tr w14:paraId="76107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2" w:hRule="exact"/>
        </w:trPr>
        <w:tc>
          <w:tcPr>
            <w:tcW w:w="1901" w:type="dxa"/>
            <w:vAlign w:val="center"/>
          </w:tcPr>
          <w:p w14:paraId="61448D4C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企业</w:t>
            </w:r>
            <w:r>
              <w:rPr>
                <w:rFonts w:hint="eastAsia" w:asciiTheme="minorEastAsia" w:hAnsi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（团队）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简介</w:t>
            </w:r>
          </w:p>
        </w:tc>
        <w:tc>
          <w:tcPr>
            <w:tcW w:w="7039" w:type="dxa"/>
            <w:gridSpan w:val="3"/>
            <w:vAlign w:val="center"/>
          </w:tcPr>
          <w:p w14:paraId="4C2417C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40" w:lineRule="exact"/>
              <w:ind w:left="0" w:righ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DemoGo 是面向 AI 编程工具生态的"试用链接生成与部署平台"。核心价值：让 Cursor、Claude Code、Windsurf 等 AI 工具生成的产品，无需用户具备服务器运维能力，30 秒内生成国内可访问的试用链接。支持静态网页、React/Vue/Vite 前端构建产物、Node.js 后端服务、MySQL 数据库，覆盖 Web/CLI/MCP/Agent API 全渠道发布，内置内容安全审查与失败自动诊断。重点解决"国内可访问 + 非技术用户一键体验"核心痛点，是 AI 编程工具生态中的关键基础设施。</w:t>
            </w:r>
          </w:p>
        </w:tc>
      </w:tr>
      <w:tr w14:paraId="06E2F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6" w:hRule="exact"/>
        </w:trPr>
        <w:tc>
          <w:tcPr>
            <w:tcW w:w="1901" w:type="dxa"/>
            <w:shd w:val="clear" w:color="auto" w:fill="auto"/>
            <w:vAlign w:val="center"/>
          </w:tcPr>
          <w:p w14:paraId="30E8865A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参加省市</w:t>
            </w:r>
            <w:r>
              <w:rPr>
                <w:rFonts w:hint="eastAsia" w:asciiTheme="minorEastAsia" w:hAnsi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县（区）等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相关赛事</w:t>
            </w:r>
            <w:r>
              <w:rPr>
                <w:rFonts w:hint="eastAsia" w:asciiTheme="minorEastAsia" w:hAnsi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情况</w:t>
            </w:r>
          </w:p>
        </w:tc>
        <w:tc>
          <w:tcPr>
            <w:tcW w:w="7039" w:type="dxa"/>
            <w:gridSpan w:val="3"/>
            <w:shd w:val="clear" w:color="auto" w:fill="auto"/>
            <w:vAlign w:val="center"/>
          </w:tcPr>
          <w:p w14:paraId="2CA3AAFA">
            <w:pPr>
              <w:snapToGrid w:val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lang w:val="en-US" w:eastAsia="zh-CN"/>
              </w:rPr>
              <w:t>首次参赛，暂无同类赛事获奖记录。</w:t>
            </w:r>
          </w:p>
        </w:tc>
      </w:tr>
    </w:tbl>
    <w:tbl>
      <w:tblPr>
        <w:tblStyle w:val="9"/>
        <w:tblW w:w="90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3"/>
        <w:gridCol w:w="2821"/>
        <w:gridCol w:w="1491"/>
        <w:gridCol w:w="2661"/>
      </w:tblGrid>
      <w:tr w14:paraId="77752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9086" w:type="dxa"/>
            <w:gridSpan w:val="4"/>
            <w:noWrap w:val="0"/>
            <w:vAlign w:val="top"/>
          </w:tcPr>
          <w:p w14:paraId="7B1A8F2C">
            <w:pPr>
              <w:snapToGrid w:val="0"/>
              <w:spacing w:before="156" w:beforeLines="5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文星黑体" w:hAnsi="文星黑体" w:eastAsia="文星黑体" w:cs="文星黑体"/>
                <w:color w:val="auto"/>
                <w:sz w:val="28"/>
                <w:szCs w:val="28"/>
                <w:vertAlign w:val="baseline"/>
                <w:lang w:val="en-US" w:eastAsia="zh-CN"/>
              </w:rPr>
              <w:t>二、项目基本情况</w:t>
            </w:r>
          </w:p>
        </w:tc>
      </w:tr>
      <w:tr w14:paraId="61836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8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041A9B9F">
            <w:pPr>
              <w:snapToGrid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项目名称及简介</w:t>
            </w:r>
          </w:p>
          <w:p w14:paraId="588EAEBB">
            <w:pPr>
              <w:snapToGrid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（300 字）</w:t>
            </w:r>
          </w:p>
        </w:tc>
        <w:tc>
          <w:tcPr>
            <w:tcW w:w="6973" w:type="dxa"/>
            <w:gridSpan w:val="3"/>
            <w:shd w:val="clear" w:color="auto" w:fill="auto"/>
            <w:noWrap w:val="0"/>
            <w:vAlign w:val="center"/>
          </w:tcPr>
          <w:p w14:paraId="15A3E0FA">
            <w:pPr>
              <w:snapToGrid w:val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【DemoGo —— AI 产品试用链接生成与部署平台】</w:t>
              <w:br/>
              <w:br/>
              <w:t>主营业务：为 AI 编程工具（Cursor/Claude Code/Windsurf 等）生成的产品提供一站式托管与试用链接生成服务。</w:t>
              <w:br/>
              <w:t>智能体定位：部署智能体——自动识别项目类型、选择构建方案、生成可访问链接，全程无需用户介入。</w:t>
              <w:br/>
              <w:t>解决痛点：AI 工具能生成代码，但非技术用户无法让代码"跑起来"给他人看。DemoGo 填补"生成→试用"之间的最后一公里。</w:t>
              <w:br/>
              <w:t>目标用户：使用 AI 编程工具的独立开发者、产品经理、创业团队，以及希望快速验证 AI 产品的企业内部团队。</w:t>
            </w:r>
          </w:p>
        </w:tc>
      </w:tr>
      <w:tr w14:paraId="55877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9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00E7C5A7">
            <w:pPr>
              <w:snapToGrid w:val="0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技术方向</w:t>
            </w:r>
          </w:p>
        </w:tc>
        <w:tc>
          <w:tcPr>
            <w:tcW w:w="6973" w:type="dxa"/>
            <w:gridSpan w:val="3"/>
            <w:shd w:val="clear" w:color="auto" w:fill="auto"/>
            <w:noWrap w:val="0"/>
            <w:vAlign w:val="center"/>
          </w:tcPr>
          <w:p w14:paraId="57819600">
            <w:pPr>
              <w:snapToGrid w:val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t xml:space="preserve">□ 大模型     □ 智能体     ☑ 服务平台 </w:t>
              <w:br/>
              <w:t>□ 智能终端产品       □ 其他：____</w:t>
            </w:r>
          </w:p>
          <w:p w14:paraId="3F175F49">
            <w:pPr>
              <w:snapToGrid w:val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  <w:p w14:paraId="503ED002">
            <w:pPr>
              <w:snapToGrid w:val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</w:tc>
      </w:tr>
      <w:tr w14:paraId="2BB50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8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7F9B60CD">
            <w:pPr>
              <w:snapToGrid w:val="0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应用场景</w:t>
            </w:r>
          </w:p>
        </w:tc>
        <w:tc>
          <w:tcPr>
            <w:tcW w:w="6973" w:type="dxa"/>
            <w:gridSpan w:val="3"/>
            <w:shd w:val="clear" w:color="auto" w:fill="auto"/>
            <w:noWrap w:val="0"/>
            <w:vAlign w:val="center"/>
          </w:tcPr>
          <w:p w14:paraId="4C12C312">
            <w:pPr>
              <w:snapToGrid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□01.AI+涉江治水    ☑02.AI+创意设计     □03.AI+文旅 </w:t>
              <w:br/>
              <w:t xml:space="preserve">□04.AI+智慧教育    □05.AI+智慧医疗     □06.AI+智慧交通 </w:t>
              <w:br/>
              <w:t>☑07.其他（AI 编程工具生态基础设施）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276BCAA4">
            <w:pPr>
              <w:snapToGrid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29CE43E1">
            <w:pPr>
              <w:snapToGrid w:val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lang w:val="en-US" w:eastAsia="zh-CN"/>
              </w:rPr>
            </w:r>
          </w:p>
        </w:tc>
      </w:tr>
      <w:tr w14:paraId="2F5CC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3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6E4A5E1A">
            <w:pPr>
              <w:snapToGrid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核心产品</w:t>
            </w:r>
          </w:p>
          <w:p w14:paraId="0CF9A2BD">
            <w:pPr>
              <w:snapToGrid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（可附附件）</w:t>
            </w:r>
          </w:p>
        </w:tc>
        <w:tc>
          <w:tcPr>
            <w:tcW w:w="6973" w:type="dxa"/>
            <w:gridSpan w:val="3"/>
            <w:shd w:val="clear" w:color="auto" w:fill="auto"/>
            <w:noWrap w:val="0"/>
            <w:vAlign w:val="center"/>
          </w:tcPr>
          <w:p w14:paraId="2E71CDA8">
            <w:pPr>
              <w:snapToGrid w:val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核心产品 / 形态：DemoGo 部署平台（软件平台）</w:t>
              <w:br/>
              <w:br/>
              <w:t>• Web 控制台：图形化上传、部署、管理试用 Demo</w:t>
              <w:br/>
              <w:t>• CLI 工具：命令行一键部署，面向开发者</w:t>
              <w:br/>
              <w:t>• MCP 插件：接入 Claude Code / Cursor 等 AI 编程工具，编码完成即可直接部署</w:t>
              <w:br/>
              <w:t>• Agent API：供 AI 智能体自动化调用部署接口</w:t>
              <w:br/>
              <w:t>• 二级域名：每个 Demo 分配独立可访问链接（demogo.cn 子域名）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</w:p>
        </w:tc>
      </w:tr>
      <w:tr w14:paraId="28547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9086" w:type="dxa"/>
            <w:gridSpan w:val="4"/>
            <w:noWrap w:val="0"/>
            <w:vAlign w:val="center"/>
          </w:tcPr>
          <w:p w14:paraId="4DA34030">
            <w:pPr>
              <w:snapToGrid w:val="0"/>
              <w:spacing w:before="156" w:beforeLines="5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文星黑体" w:hAnsi="文星黑体" w:eastAsia="文星黑体" w:cs="文星黑体"/>
                <w:color w:val="auto"/>
                <w:sz w:val="28"/>
                <w:szCs w:val="28"/>
                <w:vertAlign w:val="baseline"/>
                <w:lang w:val="en-US" w:eastAsia="zh-CN"/>
              </w:rPr>
              <w:t>三、技术与创新能力</w:t>
            </w:r>
          </w:p>
        </w:tc>
      </w:tr>
      <w:tr w14:paraId="40261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0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53828BA9">
            <w:pPr>
              <w:snapToGrid w:val="0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技术架构与路线</w:t>
            </w:r>
          </w:p>
        </w:tc>
        <w:tc>
          <w:tcPr>
            <w:tcW w:w="6973" w:type="dxa"/>
            <w:gridSpan w:val="3"/>
            <w:shd w:val="clear" w:color="auto" w:fill="auto"/>
            <w:noWrap w:val="0"/>
            <w:vAlign w:val="center"/>
          </w:tcPr>
          <w:p w14:paraId="17505A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智能体框架：自研部署智能体，核心模块包括项目分类器（ProjectClassifierService）、构建服务（BuildService）、运行时管理（RuntimeService）、部署执行器（DeploymentExecutor）。</w:t>
              <w:br/>
              <w:br/>
              <w:t>大模型底座：调用第三方大模型 API（OpenAI/Anthropic 等）实现项目类型智能识别、失败原因诊断与优化建议生成。</w:t>
              <w:br/>
              <w:br/>
              <w:t>技术栈：Node.js + Express 后端、React + Vite 前端、MySQL 数据库（Umzug 迁移管理）、Docker 容器化运行环境、Nginx 静态托管、systemd 服务管理。</w:t>
              <w:br/>
              <w:br/>
              <w:t>技术自主性：核心部署逻辑完全自研，已实现项目识别→构建→分配域名→持久化运行时状态全链路自动化。代码总规模后端约 1.3 万行、前端约 2.2 万行，已通过集成测试、烟雾测试验证。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r>
          </w:p>
        </w:tc>
      </w:tr>
      <w:tr w14:paraId="50685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6C39A0CD">
            <w:pPr>
              <w:snapToGrid w:val="0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核心创新点</w:t>
            </w:r>
          </w:p>
        </w:tc>
        <w:tc>
          <w:tcPr>
            <w:tcW w:w="6973" w:type="dxa"/>
            <w:gridSpan w:val="3"/>
            <w:shd w:val="clear" w:color="auto" w:fill="auto"/>
            <w:noWrap w:val="0"/>
            <w:vAlign w:val="center"/>
          </w:tcPr>
          <w:p w14:paraId="437C6D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 【智能项目识别】：自动区分静态页面、React/Vue/Vite 前端工程、Node.js 后端服务，无需用户配置，选择最优构建方案；</w:t>
              <w:br/>
              <w:t>2. 【持久化运行时管理】：服务重启后 Demo 实例自动恢复（runtime-state.json 持久化），保障用户试用链接长期有效；</w:t>
              <w:br/>
              <w:t>3. 【全渠道接入】：同一套部署能力通过 Web/CLI/MCP/Agent API 四种方式对外开放，可嵌入 AI 编程工具原生工作流，实现"编码→部署"零摩擦。</w:t>
            </w:r>
          </w:p>
        </w:tc>
      </w:tr>
      <w:tr w14:paraId="03B37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55AFB19F">
            <w:pPr>
              <w:snapToGrid w:val="0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知识产权</w:t>
            </w:r>
          </w:p>
        </w:tc>
        <w:tc>
          <w:tcPr>
            <w:tcW w:w="6973" w:type="dxa"/>
            <w:gridSpan w:val="3"/>
            <w:shd w:val="clear" w:color="auto" w:fill="auto"/>
            <w:noWrap w:val="0"/>
            <w:vAlign w:val="center"/>
          </w:tcPr>
          <w:p w14:paraId="495E4A46">
            <w:pPr>
              <w:snapToGrid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专利 0 项、软著 0 项（申请中）、商标 0 项、其他 0 项；</w:t>
              <w:br/>
              <w:t>权属是否清晰：☑是 □否</w:t>
              <w:br/>
              <w:t>（全部代码为创始人自主开发，无外部权属纠纷）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  <w:p w14:paraId="279B6BE1">
            <w:pPr>
              <w:snapToGrid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  <w:tr w14:paraId="6A793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58239660">
            <w:pPr>
              <w:snapToGrid w:val="0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技术成熟度</w:t>
            </w:r>
          </w:p>
        </w:tc>
        <w:tc>
          <w:tcPr>
            <w:tcW w:w="6973" w:type="dxa"/>
            <w:gridSpan w:val="3"/>
            <w:shd w:val="clear" w:color="auto" w:fill="auto"/>
            <w:noWrap w:val="0"/>
            <w:vAlign w:val="center"/>
          </w:tcPr>
          <w:p w14:paraId="109E72B2">
            <w:pPr>
              <w:snapToGrid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 概念验证  □ 原型 Demo  □ 小试  ☑ 中试</w:t>
              <w:br/>
              <w:t>□ 已落地客户 □ 规模化商用</w:t>
              <w:br/>
              <w:br/>
              <w:t>（MVP 已上线运行，核心功能通过真实项目验证，正在推进真实用户试用与商业验证阶段）</w:t>
            </w:r>
          </w:p>
          <w:p w14:paraId="7CA6E6CF">
            <w:pPr>
              <w:snapToGrid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  <w:tr w14:paraId="55958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631C2BE3">
            <w:pPr>
              <w:snapToGrid w:val="0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 xml:space="preserve">算力资源 </w:t>
            </w:r>
          </w:p>
        </w:tc>
        <w:tc>
          <w:tcPr>
            <w:tcW w:w="2821" w:type="dxa"/>
            <w:shd w:val="clear" w:color="auto" w:fill="auto"/>
            <w:noWrap w:val="0"/>
            <w:vAlign w:val="center"/>
          </w:tcPr>
          <w:p w14:paraId="47A8319B">
            <w:pPr>
              <w:snapToGrid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 自建   ☑ 调用第三方（云服务器）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  <w:tc>
          <w:tcPr>
            <w:tcW w:w="1491" w:type="dxa"/>
            <w:shd w:val="clear" w:color="auto" w:fill="auto"/>
            <w:noWrap w:val="0"/>
            <w:vAlign w:val="center"/>
          </w:tcPr>
          <w:p w14:paraId="24D57758">
            <w:pPr>
              <w:snapToGrid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大模型资源</w:t>
            </w:r>
          </w:p>
        </w:tc>
        <w:tc>
          <w:tcPr>
            <w:tcW w:w="2661" w:type="dxa"/>
            <w:shd w:val="clear" w:color="auto" w:fill="auto"/>
            <w:noWrap w:val="0"/>
            <w:vAlign w:val="center"/>
          </w:tcPr>
          <w:p w14:paraId="007ADF24">
            <w:pPr>
              <w:snapToGrid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 自研  ☑ 调用第三方（OpenAI/Anthropic API）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</w:tr>
      <w:tr w14:paraId="38D6B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5FC6635B">
            <w:pPr>
              <w:snapToGrid w:val="0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数据资源</w:t>
            </w:r>
          </w:p>
        </w:tc>
        <w:tc>
          <w:tcPr>
            <w:tcW w:w="2821" w:type="dxa"/>
            <w:shd w:val="clear" w:color="auto" w:fill="auto"/>
            <w:noWrap w:val="0"/>
            <w:vAlign w:val="center"/>
          </w:tcPr>
          <w:p w14:paraId="2E84BAFF">
            <w:pPr>
              <w:snapToGrid w:val="0"/>
              <w:jc w:val="left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部署日志、项目元数据（自有）；用户行为数据（待积累）</w:t>
            </w:r>
          </w:p>
        </w:tc>
        <w:tc>
          <w:tcPr>
            <w:tcW w:w="1491" w:type="dxa"/>
            <w:shd w:val="clear" w:color="auto" w:fill="auto"/>
            <w:noWrap w:val="0"/>
            <w:vAlign w:val="center"/>
          </w:tcPr>
          <w:p w14:paraId="75B1A496">
            <w:pPr>
              <w:snapToGrid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Token 使用</w:t>
              <w:br/>
              <w:t>情况</w:t>
            </w:r>
          </w:p>
          <w:p w14:paraId="4E4735A3">
            <w:pPr>
              <w:snapToGrid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</w:r>
          </w:p>
        </w:tc>
        <w:tc>
          <w:tcPr>
            <w:tcW w:w="2661" w:type="dxa"/>
            <w:shd w:val="clear" w:color="auto" w:fill="auto"/>
            <w:noWrap w:val="0"/>
            <w:vAlign w:val="center"/>
          </w:tcPr>
          <w:p w14:paraId="532C4381">
            <w:pPr>
              <w:snapToGrid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C0A0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9086" w:type="dxa"/>
            <w:gridSpan w:val="4"/>
            <w:noWrap w:val="0"/>
            <w:vAlign w:val="center"/>
          </w:tcPr>
          <w:p w14:paraId="4B692A92">
            <w:pPr>
              <w:snapToGrid w:val="0"/>
              <w:spacing w:before="156" w:beforeLines="50"/>
              <w:jc w:val="left"/>
              <w:rPr>
                <w:rFonts w:hint="eastAsia" w:asci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文星黑体" w:hAnsi="文星黑体" w:eastAsia="文星黑体" w:cs="文星黑体"/>
                <w:color w:val="auto"/>
                <w:sz w:val="28"/>
                <w:szCs w:val="28"/>
                <w:vertAlign w:val="baseline"/>
                <w:lang w:val="en-US" w:eastAsia="zh-CN"/>
              </w:rPr>
              <w:t>四、产品与商业化进展</w:t>
            </w:r>
          </w:p>
        </w:tc>
      </w:tr>
      <w:tr w14:paraId="2A4BF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14AF3A9D">
            <w:pPr>
              <w:snapToGrid w:val="0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产品完成度</w:t>
            </w:r>
          </w:p>
        </w:tc>
        <w:tc>
          <w:tcPr>
            <w:tcW w:w="6973" w:type="dxa"/>
            <w:gridSpan w:val="3"/>
            <w:shd w:val="clear" w:color="auto" w:fill="auto"/>
            <w:noWrap w:val="0"/>
            <w:vAlign w:val="center"/>
          </w:tcPr>
          <w:p w14:paraId="2B34D1D9">
            <w:pPr>
              <w:snapToGrid w:val="0"/>
              <w:jc w:val="both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功能完整性：核心部署链路完整（静态页/前端工程/Node.js 后端/MySQL 数据库均已支持），通过集成测试与烟雾测试。</w:t>
              <w:br/>
              <w:t>稳定性：引入运行时持久化、数据库写锁机制，服务可 7×24 运行。</w:t>
              <w:br/>
              <w:t>用户体验：Web 控制台支持拖拽上传、实时部署日志、一键分享链接；CLI 工具支持 npx 直接调用；MCP 插件已适配主流 AI 编程工具。</w:t>
            </w:r>
          </w:p>
        </w:tc>
      </w:tr>
      <w:tr w14:paraId="511BD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62310A40">
            <w:pPr>
              <w:snapToGrid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客户 / 用户验证</w:t>
            </w:r>
          </w:p>
        </w:tc>
        <w:tc>
          <w:tcPr>
            <w:tcW w:w="6973" w:type="dxa"/>
            <w:gridSpan w:val="3"/>
            <w:shd w:val="clear" w:color="auto" w:fill="auto"/>
            <w:noWrap w:val="0"/>
            <w:vAlign w:val="center"/>
          </w:tcPr>
          <w:p w14:paraId="03AB0377">
            <w:pPr>
              <w:snapToGrid w:val="0"/>
              <w:jc w:val="both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已有客户数：内测用户若干（真实试用中）；付费客户：0（商业化验证阶段）</w:t>
              <w:br/>
              <w:t>标杆案例：（正在积累，可提供内测用户反馈记录）</w:t>
            </w:r>
          </w:p>
          <w:p w14:paraId="5C30809A">
            <w:pPr>
              <w:snapToGrid w:val="0"/>
              <w:jc w:val="both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</w:r>
          </w:p>
        </w:tc>
      </w:tr>
      <w:tr w14:paraId="7F2C5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4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6076645F">
            <w:pPr>
              <w:snapToGrid w:val="0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商业模式</w:t>
            </w:r>
          </w:p>
        </w:tc>
        <w:tc>
          <w:tcPr>
            <w:tcW w:w="6973" w:type="dxa"/>
            <w:gridSpan w:val="3"/>
            <w:shd w:val="clear" w:color="auto" w:fill="auto"/>
            <w:noWrap w:val="0"/>
            <w:vAlign w:val="center"/>
          </w:tcPr>
          <w:p w14:paraId="695E9964">
            <w:pPr>
              <w:snapToGrid w:val="0"/>
              <w:jc w:val="both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收费方式：Freemium + 按量付费（免费额度 + 付费套餐）</w:t>
              <w:br/>
              <w:t>客单价：预计 99-499 元/月（个人/团队版）</w:t>
              <w:br/>
              <w:t>获客渠道：AI 编程工具社区、开发者论坛、公众号"古哥聊数智"内容营销</w:t>
              <w:br/>
              <w:t>单位经济模型：低边际成本（服务器资源按实际用量计费），规模效应显著</w:t>
            </w:r>
          </w:p>
        </w:tc>
      </w:tr>
      <w:tr w14:paraId="2929C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2E9F07DA">
            <w:pPr>
              <w:snapToGrid w:val="0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经营数据（如有）</w:t>
            </w:r>
          </w:p>
        </w:tc>
        <w:tc>
          <w:tcPr>
            <w:tcW w:w="6973" w:type="dxa"/>
            <w:gridSpan w:val="3"/>
            <w:shd w:val="clear" w:color="auto" w:fill="auto"/>
            <w:noWrap w:val="0"/>
            <w:vAlign w:val="center"/>
          </w:tcPr>
          <w:p w14:paraId="647C687A">
            <w:pPr>
              <w:snapToGrid w:val="0"/>
              <w:jc w:val="left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2024年营收：0 万元；净利润：0 万元；</w:t>
              <w:br/>
              <w:t>总资产：（请补充）万元；总负债：0 万元。</w:t>
              <w:br/>
              <w:t>2025年营收：（商业化进行中）万元；净利润：— 万元；</w:t>
              <w:br/>
              <w:t>总资产：（请补充）万元；总负债：0 万元。</w:t>
            </w:r>
          </w:p>
          <w:p w14:paraId="18E1ABD6">
            <w:pPr>
              <w:snapToGrid w:val="0"/>
              <w:ind w:firstLine="630" w:firstLineChars="300"/>
              <w:jc w:val="left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</w:r>
          </w:p>
          <w:p w14:paraId="00EE743A">
            <w:pPr>
              <w:snapToGrid w:val="0"/>
              <w:jc w:val="left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</w:r>
          </w:p>
          <w:p w14:paraId="7BF671C4">
            <w:pPr>
              <w:snapToGrid w:val="0"/>
              <w:ind w:firstLine="630" w:firstLineChars="300"/>
              <w:jc w:val="left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</w:r>
          </w:p>
        </w:tc>
      </w:tr>
      <w:tr w14:paraId="5BA6D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  <w:jc w:val="center"/>
        </w:trPr>
        <w:tc>
          <w:tcPr>
            <w:tcW w:w="9086" w:type="dxa"/>
            <w:gridSpan w:val="4"/>
            <w:shd w:val="clear" w:color="auto" w:fill="auto"/>
            <w:noWrap w:val="0"/>
            <w:vAlign w:val="center"/>
          </w:tcPr>
          <w:p w14:paraId="05BB0E8A">
            <w:pPr>
              <w:snapToGrid w:val="0"/>
              <w:jc w:val="left"/>
              <w:rPr>
                <w:rFonts w:hint="eastAsia" w:ascii="宋体" w:hAnsiTheme="minorHAnsi" w:eastAsiaTheme="minorEastAsia" w:cstheme="minorBidi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文星黑体" w:hAnsi="文星黑体" w:eastAsia="文星黑体" w:cs="文星黑体"/>
                <w:color w:val="auto"/>
                <w:sz w:val="28"/>
                <w:szCs w:val="28"/>
                <w:vertAlign w:val="baseline"/>
                <w:lang w:val="en-US" w:eastAsia="zh-CN"/>
              </w:rPr>
              <w:t>五、市场与竞争分析</w:t>
            </w:r>
          </w:p>
        </w:tc>
      </w:tr>
      <w:tr w14:paraId="7E462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6DDD8278">
            <w:pPr>
              <w:snapToGrid w:val="0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目标市场规模</w:t>
            </w:r>
          </w:p>
        </w:tc>
        <w:tc>
          <w:tcPr>
            <w:tcW w:w="6973" w:type="dxa"/>
            <w:gridSpan w:val="3"/>
            <w:shd w:val="clear" w:color="auto" w:fill="auto"/>
            <w:noWrap w:val="0"/>
            <w:vAlign w:val="center"/>
          </w:tcPr>
          <w:p w14:paraId="74F25B77">
            <w:pPr>
              <w:snapToGrid w:val="0"/>
              <w:jc w:val="left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细分领域规模：国内 AI 编程工具用户规模约 200-500 万（2025 年高速增长中），AI 产品托管/部署服务细分市场估算约 10-50 亿元；</w:t>
              <w:br/>
              <w:t>测算依据：参考 Vercel（年收入约 1 亿美元）、Railway 等同类国际产品规模，结合国内 AI 编程工具渗透率与付费意愿测算。</w:t>
            </w:r>
          </w:p>
          <w:p w14:paraId="09EE210D">
            <w:pPr>
              <w:snapToGrid w:val="0"/>
              <w:jc w:val="left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</w:r>
          </w:p>
          <w:p w14:paraId="68890906">
            <w:pPr>
              <w:snapToGrid w:val="0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</w:p>
        </w:tc>
      </w:tr>
      <w:tr w14:paraId="5FAB0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5D363B3A">
            <w:pPr>
              <w:snapToGrid w:val="0"/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主要竞品及核心优势对比</w:t>
            </w:r>
          </w:p>
        </w:tc>
        <w:tc>
          <w:tcPr>
            <w:tcW w:w="6973" w:type="dxa"/>
            <w:gridSpan w:val="3"/>
            <w:shd w:val="clear" w:color="auto" w:fill="auto"/>
            <w:noWrap w:val="0"/>
            <w:vAlign w:val="center"/>
          </w:tcPr>
          <w:p w14:paraId="40E38E41">
            <w:pPr>
              <w:snapToGrid w:val="0"/>
              <w:jc w:val="left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主要竞品：Vercel、Railway、Render（国际）；国内暂无直接竞品</w:t>
              <w:br/>
              <w:t>核心优势对比：</w:t>
              <w:br/>
              <w:t>• 团队：深度 AI 编程工具用户，理解真实需求痛点</w:t>
              <w:br/>
              <w:t>• 技术：全链路自研，深度适配 AI 工具工作流（MCP/Agent API）</w:t>
              <w:br/>
              <w:t>• 成本：专注国内，服务器成本可控，无国际合规障碍</w:t>
              <w:br/>
              <w:t>• 场景：聚焦"AI 生成产品快速试用"细分场景，竞品为通用部署平台，缺乏 AI 工作流原生集成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  <w:lang w:val="en-US" w:eastAsia="zh-CN"/>
              </w:rPr>
            </w:r>
          </w:p>
          <w:p w14:paraId="398D9E20">
            <w:pPr>
              <w:snapToGrid w:val="0"/>
              <w:jc w:val="left"/>
              <w:rPr>
                <w:rFonts w:hint="eastAsia" w:ascii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</w:r>
          </w:p>
        </w:tc>
      </w:tr>
      <w:tr w14:paraId="0201D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246AA6C9">
            <w:pPr>
              <w:snapToGrid w:val="0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增长规划</w:t>
            </w:r>
          </w:p>
        </w:tc>
        <w:tc>
          <w:tcPr>
            <w:tcW w:w="6973" w:type="dxa"/>
            <w:gridSpan w:val="3"/>
            <w:shd w:val="clear" w:color="auto" w:fill="auto"/>
            <w:noWrap w:val="0"/>
            <w:vAlign w:val="center"/>
          </w:tcPr>
          <w:p w14:paraId="0620AC2F">
            <w:pPr>
              <w:snapToGrid w:val="0"/>
              <w:jc w:val="left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第 1 年（2026）：完成商业化验证，获取 100-500 付费用户，月营收 5-20 万元</w:t>
              <w:br/>
              <w:t>第 2 年（2027）：扩大获客，深化 MCP/Agent API 生态，月活用户 5,000+，月营收 50-100 万元</w:t>
              <w:br/>
              <w:t>第 3 年（2028）：规模化，探索企业版与 API 商业化，年营收目标 500 万元以上</w:t>
              <w:br/>
              <w:t>市场拓展路径：个人开发者 → 创业团队 → AI 工具厂商合作/OEM</w:t>
            </w:r>
          </w:p>
        </w:tc>
      </w:tr>
      <w:tr w14:paraId="09109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7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63715B38">
            <w:pPr>
              <w:snapToGrid w:val="0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</w:p>
          <w:p w14:paraId="13C034C6">
            <w:pPr>
              <w:snapToGrid w:val="0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未来 3 年财务预测</w:t>
            </w:r>
          </w:p>
          <w:p w14:paraId="3967B472">
            <w:pPr>
              <w:snapToGrid w:val="0"/>
              <w:jc w:val="center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6973" w:type="dxa"/>
            <w:gridSpan w:val="3"/>
            <w:shd w:val="clear" w:color="auto" w:fill="auto"/>
            <w:noWrap w:val="0"/>
            <w:vAlign w:val="center"/>
          </w:tcPr>
          <w:p w14:paraId="02AEDADA">
            <w:pPr>
              <w:snapToGrid w:val="0"/>
              <w:jc w:val="both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2026：营收 20 万，运营成本 15 万，净利润 5 万，研发投入 10 万</w:t>
              <w:br/>
              <w:t>2027：营收 150 万，运营成本 80 万，净利润 70 万，研发投入 40 万</w:t>
              <w:br/>
              <w:t>2028：营收 500 万，运营成本 200 万，净利润 300 万，研发投入 100 万</w:t>
            </w:r>
          </w:p>
        </w:tc>
      </w:tr>
      <w:tr w14:paraId="70BA6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  <w:jc w:val="center"/>
        </w:trPr>
        <w:tc>
          <w:tcPr>
            <w:tcW w:w="9086" w:type="dxa"/>
            <w:gridSpan w:val="4"/>
            <w:shd w:val="clear" w:color="auto" w:fill="auto"/>
            <w:noWrap w:val="0"/>
            <w:vAlign w:val="center"/>
          </w:tcPr>
          <w:p w14:paraId="7AE39A4D">
            <w:pPr>
              <w:snapToGrid w:val="0"/>
              <w:jc w:val="left"/>
              <w:rPr>
                <w:rFonts w:hint="eastAsia" w:ascii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文星黑体" w:hAnsi="文星黑体" w:eastAsia="文星黑体" w:cs="文星黑体"/>
                <w:color w:val="auto"/>
                <w:sz w:val="28"/>
                <w:szCs w:val="28"/>
                <w:vertAlign w:val="baseline"/>
                <w:lang w:val="en-US" w:eastAsia="zh-CN"/>
              </w:rPr>
              <w:t>六、产业化落地与江岸适配性</w:t>
            </w:r>
          </w:p>
        </w:tc>
      </w:tr>
      <w:tr w14:paraId="7D562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7F59E9AD">
            <w:pPr>
              <w:snapToGrid w:val="0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计划落户江岸区</w:t>
            </w:r>
          </w:p>
        </w:tc>
        <w:tc>
          <w:tcPr>
            <w:tcW w:w="6973" w:type="dxa"/>
            <w:gridSpan w:val="3"/>
            <w:shd w:val="clear" w:color="auto" w:fill="auto"/>
            <w:noWrap w:val="0"/>
            <w:vAlign w:val="center"/>
          </w:tcPr>
          <w:p w14:paraId="0575BEEF">
            <w:pPr>
              <w:snapToGrid w:val="0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☑是 □否（创始人现居武汉，意向在江岸区落户 OPC）</w:t>
            </w:r>
          </w:p>
        </w:tc>
      </w:tr>
      <w:tr w14:paraId="27707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44D72FD4">
            <w:pPr>
              <w:snapToGrid w:val="0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计划入驻 OPC 社区</w:t>
            </w:r>
          </w:p>
        </w:tc>
        <w:tc>
          <w:tcPr>
            <w:tcW w:w="6973" w:type="dxa"/>
            <w:gridSpan w:val="3"/>
            <w:shd w:val="clear" w:color="auto" w:fill="auto"/>
            <w:noWrap w:val="0"/>
            <w:vAlign w:val="center"/>
          </w:tcPr>
          <w:p w14:paraId="4BFF58B0">
            <w:pPr>
              <w:snapToGrid w:val="0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☑是 □否（欢迎接洽 OPC 社区合作）</w:t>
            </w:r>
          </w:p>
        </w:tc>
      </w:tr>
      <w:tr w14:paraId="2C5C0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68E33237">
            <w:pPr>
              <w:snapToGrid w:val="0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产学研合作</w:t>
            </w:r>
          </w:p>
        </w:tc>
        <w:tc>
          <w:tcPr>
            <w:tcW w:w="6973" w:type="dxa"/>
            <w:gridSpan w:val="3"/>
            <w:shd w:val="clear" w:color="auto" w:fill="auto"/>
            <w:noWrap w:val="0"/>
            <w:vAlign w:val="center"/>
          </w:tcPr>
          <w:p w14:paraId="6F765AB7">
            <w:pPr>
              <w:snapToGrid w:val="0"/>
              <w:jc w:val="center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暂无正式产学研合作，创始人与武汉地区高校有非正式技术交流；</w:t>
              <w:br/>
              <w:t>如有需要，可进一步对接相关高校 AI 实验室。</w:t>
            </w:r>
          </w:p>
        </w:tc>
      </w:tr>
      <w:tr w14:paraId="6910C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  <w:jc w:val="center"/>
        </w:trPr>
        <w:tc>
          <w:tcPr>
            <w:tcW w:w="9086" w:type="dxa"/>
            <w:gridSpan w:val="4"/>
            <w:shd w:val="clear" w:color="auto" w:fill="auto"/>
            <w:noWrap w:val="0"/>
            <w:vAlign w:val="center"/>
          </w:tcPr>
          <w:p w14:paraId="03B69E14">
            <w:pPr>
              <w:snapToGrid w:val="0"/>
              <w:jc w:val="left"/>
              <w:rPr>
                <w:rFonts w:hint="eastAsia" w:ascii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文星黑体" w:hAnsi="文星黑体" w:eastAsia="文星黑体" w:cs="文星黑体"/>
                <w:color w:val="auto"/>
                <w:sz w:val="28"/>
                <w:szCs w:val="28"/>
                <w:vertAlign w:val="baseline"/>
                <w:lang w:val="en-US" w:eastAsia="zh-CN"/>
              </w:rPr>
              <w:t>七、融资与发展规划</w:t>
            </w:r>
          </w:p>
        </w:tc>
      </w:tr>
      <w:tr w14:paraId="06CEF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0DED8C7D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已获融资</w:t>
            </w:r>
          </w:p>
        </w:tc>
        <w:tc>
          <w:tcPr>
            <w:tcW w:w="6973" w:type="dxa"/>
            <w:gridSpan w:val="3"/>
            <w:shd w:val="clear" w:color="auto" w:fill="auto"/>
            <w:noWrap w:val="0"/>
            <w:vAlign w:val="center"/>
          </w:tcPr>
          <w:p w14:paraId="2FB3CB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☑无 □天使 □Pre-A；金额 — 万元；投资方：—</w:t>
              <w:br/>
              <w:t>（自筹资金，正在寻找天使投资）</w:t>
            </w:r>
          </w:p>
        </w:tc>
      </w:tr>
      <w:tr w14:paraId="4B023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37C3AC2D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本轮计划融资与</w:t>
            </w:r>
          </w:p>
          <w:p w14:paraId="2D452F12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投前估值</w:t>
            </w:r>
          </w:p>
        </w:tc>
        <w:tc>
          <w:tcPr>
            <w:tcW w:w="6973" w:type="dxa"/>
            <w:gridSpan w:val="3"/>
            <w:shd w:val="clear" w:color="auto" w:fill="auto"/>
            <w:noWrap w:val="0"/>
            <w:vAlign w:val="center"/>
          </w:tcPr>
          <w:p w14:paraId="50A69100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本轮计划融资：100-200 万元；投前估值：500-1000 万元</w:t>
              <w:br/>
              <w:t>（用于服务器扩容、产品迭代、初期市场推广）</w:t>
            </w:r>
          </w:p>
        </w:tc>
      </w:tr>
      <w:tr w14:paraId="40E99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23851C6D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资金用途</w:t>
            </w:r>
          </w:p>
        </w:tc>
        <w:tc>
          <w:tcPr>
            <w:tcW w:w="6973" w:type="dxa"/>
            <w:gridSpan w:val="3"/>
            <w:shd w:val="clear" w:color="auto" w:fill="auto"/>
            <w:noWrap w:val="0"/>
            <w:vAlign w:val="center"/>
          </w:tcPr>
          <w:p w14:paraId="7E512D87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研发 50%、市场 20%、团队 20%、其他 10%</w:t>
            </w:r>
          </w:p>
          <w:p w14:paraId="25B5A353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63E7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2113" w:type="dxa"/>
            <w:shd w:val="clear" w:color="auto" w:fill="auto"/>
            <w:noWrap w:val="0"/>
            <w:vAlign w:val="center"/>
          </w:tcPr>
          <w:p w14:paraId="3241A42C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退出规划</w:t>
            </w:r>
          </w:p>
        </w:tc>
        <w:tc>
          <w:tcPr>
            <w:tcW w:w="6973" w:type="dxa"/>
            <w:gridSpan w:val="3"/>
            <w:shd w:val="clear" w:color="auto" w:fill="auto"/>
            <w:noWrap w:val="0"/>
            <w:vAlign w:val="center"/>
          </w:tcPr>
          <w:p w14:paraId="4936050A">
            <w:pPr>
              <w:snapToGrid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vertAlign w:val="baseline"/>
                <w:lang w:val="en-US" w:eastAsia="zh-CN"/>
              </w:rPr>
              <w:t>□并购 □IPO □回购 ☑再融资转让</w:t>
              <w:br/>
              <w:t>（中短期目标：再融资支持规模化；长期不排除并购退出）</w:t>
            </w:r>
          </w:p>
        </w:tc>
      </w:tr>
      <w:tr w14:paraId="1BD89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9086" w:type="dxa"/>
            <w:gridSpan w:val="4"/>
            <w:shd w:val="clear" w:color="auto" w:fill="auto"/>
            <w:noWrap w:val="0"/>
            <w:vAlign w:val="center"/>
          </w:tcPr>
          <w:p w14:paraId="1B4DC729">
            <w:pPr>
              <w:snapToGrid w:val="0"/>
              <w:jc w:val="left"/>
              <w:rPr>
                <w:rFonts w:hint="eastAsia" w:ascii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文星黑体" w:hAnsi="文星黑体" w:eastAsia="文星黑体" w:cs="文星黑体"/>
                <w:color w:val="auto"/>
                <w:sz w:val="28"/>
                <w:szCs w:val="28"/>
                <w:vertAlign w:val="baseline"/>
                <w:lang w:val="en-US" w:eastAsia="zh-CN"/>
              </w:rPr>
              <w:t>八、项目承诺</w:t>
            </w:r>
          </w:p>
        </w:tc>
      </w:tr>
      <w:tr w14:paraId="6B055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9" w:hRule="atLeast"/>
          <w:jc w:val="center"/>
        </w:trPr>
        <w:tc>
          <w:tcPr>
            <w:tcW w:w="9086" w:type="dxa"/>
            <w:gridSpan w:val="4"/>
            <w:shd w:val="clear" w:color="auto" w:fill="auto"/>
            <w:noWrap w:val="0"/>
            <w:vAlign w:val="top"/>
          </w:tcPr>
          <w:p w14:paraId="6D938AE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90" w:lineRule="exact"/>
              <w:ind w:left="0" w:right="0" w:firstLine="440" w:firstLineChars="200"/>
              <w:jc w:val="left"/>
              <w:textAlignment w:val="auto"/>
              <w:rPr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本项目团队/单位自愿参加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江岸区灵智江城-赛博龙虾｜长江岸创·智能体创新大赛</w:t>
            </w: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，郑重作出如下承诺：</w:t>
            </w:r>
          </w:p>
          <w:p w14:paraId="3802277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90" w:lineRule="exact"/>
              <w:ind w:left="0" w:right="0" w:firstLine="442" w:firstLineChars="200"/>
              <w:jc w:val="left"/>
              <w:textAlignment w:val="auto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一、</w:t>
            </w:r>
            <w:r>
              <w:rPr>
                <w:color w:val="000000"/>
                <w:sz w:val="22"/>
                <w:szCs w:val="22"/>
              </w:rPr>
              <w:t>合规承诺</w:t>
            </w:r>
          </w:p>
          <w:p w14:paraId="6A6EE04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90" w:lineRule="exact"/>
              <w:ind w:left="0" w:right="0" w:rightChars="0" w:firstLine="440" w:firstLineChars="200"/>
              <w:jc w:val="left"/>
              <w:textAlignment w:val="auto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1、</w:t>
            </w:r>
            <w:r>
              <w:rPr>
                <w:color w:val="000000"/>
                <w:sz w:val="22"/>
                <w:szCs w:val="22"/>
              </w:rPr>
              <w:t>项目符合国家法律法规、产业政策，</w:t>
            </w:r>
            <w:r>
              <w:rPr>
                <w:b/>
                <w:bCs/>
                <w:color w:val="000000"/>
                <w:sz w:val="22"/>
                <w:szCs w:val="22"/>
              </w:rPr>
              <w:t>内容合法合规</w:t>
            </w:r>
            <w:r>
              <w:rPr>
                <w:color w:val="000000"/>
                <w:sz w:val="22"/>
                <w:szCs w:val="22"/>
              </w:rPr>
              <w:t>。</w:t>
            </w:r>
          </w:p>
          <w:p w14:paraId="6FB4032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90" w:lineRule="exact"/>
              <w:ind w:left="0" w:right="0" w:rightChars="0" w:firstLine="440" w:firstLineChars="200"/>
              <w:jc w:val="left"/>
              <w:textAlignment w:val="auto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2、</w:t>
            </w:r>
            <w:r>
              <w:rPr>
                <w:color w:val="000000"/>
                <w:sz w:val="22"/>
                <w:szCs w:val="22"/>
              </w:rPr>
              <w:t>团队及核心成员无严重科研失信、违法违规经营、不良信用记录，未被列入失信惩戒名单。</w:t>
            </w:r>
          </w:p>
          <w:p w14:paraId="3492929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90" w:lineRule="exact"/>
              <w:ind w:left="0" w:right="0" w:rightChars="0" w:firstLine="440" w:firstLineChars="200"/>
              <w:jc w:val="left"/>
              <w:textAlignment w:val="auto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3、</w:t>
            </w:r>
            <w:r>
              <w:rPr>
                <w:color w:val="000000"/>
                <w:sz w:val="22"/>
                <w:szCs w:val="22"/>
              </w:rPr>
              <w:t>严格遵守</w:t>
            </w: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相关</w:t>
            </w:r>
            <w:r>
              <w:rPr>
                <w:color w:val="000000"/>
                <w:sz w:val="22"/>
                <w:szCs w:val="22"/>
              </w:rPr>
              <w:t>规则，不弄虚作假、不串通评审、不违规操作，自愿接受监督、核查与处理。</w:t>
            </w:r>
          </w:p>
          <w:p w14:paraId="3D244D1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90" w:lineRule="exact"/>
              <w:ind w:left="0" w:right="0" w:firstLine="442" w:firstLineChars="200"/>
              <w:jc w:val="left"/>
              <w:textAlignment w:val="auto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二、</w:t>
            </w:r>
            <w:r>
              <w:rPr>
                <w:color w:val="000000"/>
                <w:sz w:val="22"/>
                <w:szCs w:val="22"/>
              </w:rPr>
              <w:t>材料真实有效承诺</w:t>
            </w:r>
          </w:p>
          <w:p w14:paraId="1E56BF8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90" w:lineRule="exact"/>
              <w:ind w:left="0" w:right="0" w:rightChars="0" w:firstLine="440" w:firstLineChars="200"/>
              <w:jc w:val="left"/>
              <w:textAlignment w:val="auto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1、</w:t>
            </w:r>
            <w:r>
              <w:rPr>
                <w:color w:val="000000"/>
                <w:sz w:val="22"/>
                <w:szCs w:val="22"/>
              </w:rPr>
              <w:t>提交的</w:t>
            </w:r>
            <w:r>
              <w:rPr>
                <w:rStyle w:val="12"/>
                <w:rFonts w:hint="eastAsia"/>
                <w:b/>
                <w:bCs/>
                <w:color w:val="000000"/>
                <w:sz w:val="22"/>
                <w:szCs w:val="22"/>
                <w:lang w:val="en-US" w:eastAsia="zh-CN"/>
              </w:rPr>
              <w:t>项目申报书</w:t>
            </w:r>
            <w:r>
              <w:rPr>
                <w:rStyle w:val="12"/>
                <w:b/>
                <w:bCs/>
                <w:color w:val="000000"/>
                <w:sz w:val="22"/>
                <w:szCs w:val="22"/>
              </w:rPr>
              <w:t>、项目介绍、营业执照、团队资质、专利证书、成果证明、落地规划</w:t>
            </w:r>
            <w:r>
              <w:rPr>
                <w:color w:val="000000"/>
                <w:sz w:val="22"/>
                <w:szCs w:val="22"/>
              </w:rPr>
              <w:t>等全部材料</w:t>
            </w:r>
            <w:r>
              <w:rPr>
                <w:rStyle w:val="12"/>
                <w:b/>
                <w:bCs/>
                <w:color w:val="000000"/>
                <w:sz w:val="22"/>
                <w:szCs w:val="22"/>
              </w:rPr>
              <w:t>真实、完整、准确、有效</w:t>
            </w:r>
            <w:r>
              <w:rPr>
                <w:color w:val="000000"/>
                <w:sz w:val="22"/>
                <w:szCs w:val="22"/>
              </w:rPr>
              <w:t>，无伪造、篡改、隐瞒、虚假信息。</w:t>
            </w:r>
          </w:p>
          <w:p w14:paraId="40F5767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90" w:lineRule="exact"/>
              <w:ind w:left="0" w:leftChars="0" w:right="0" w:rightChars="0" w:firstLine="440" w:firstLineChars="200"/>
              <w:jc w:val="left"/>
              <w:textAlignment w:val="auto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2、</w:t>
            </w:r>
            <w:r>
              <w:rPr>
                <w:color w:val="000000"/>
                <w:sz w:val="22"/>
                <w:szCs w:val="22"/>
              </w:rPr>
              <w:t>所有材料均为团队原创或合法取得，复印件与原件一致，电子材料与纸质材料一致。</w:t>
            </w:r>
          </w:p>
          <w:p w14:paraId="4047C3C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90" w:lineRule="exact"/>
              <w:ind w:left="0" w:leftChars="0" w:right="0" w:rightChars="0" w:firstLine="440" w:firstLineChars="200"/>
              <w:jc w:val="left"/>
              <w:textAlignment w:val="auto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3、</w:t>
            </w:r>
            <w:r>
              <w:rPr>
                <w:color w:val="000000"/>
                <w:sz w:val="22"/>
                <w:szCs w:val="22"/>
              </w:rPr>
              <w:t>自愿接受主办方形式审查、专家复核、实地核查，对核查结果无异议。</w:t>
            </w:r>
          </w:p>
          <w:p w14:paraId="5C26C55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90" w:lineRule="exact"/>
              <w:ind w:left="0" w:right="0" w:firstLine="442" w:firstLineChars="200"/>
              <w:jc w:val="left"/>
              <w:textAlignment w:val="auto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三、</w:t>
            </w:r>
            <w:r>
              <w:rPr>
                <w:color w:val="000000"/>
                <w:sz w:val="22"/>
                <w:szCs w:val="22"/>
              </w:rPr>
              <w:t>知识产权与权属承诺</w:t>
            </w:r>
          </w:p>
          <w:p w14:paraId="42D8EBB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90" w:lineRule="exact"/>
              <w:ind w:left="0" w:leftChars="0" w:right="0" w:rightChars="0" w:firstLine="440" w:firstLineChars="200"/>
              <w:jc w:val="left"/>
              <w:textAlignment w:val="auto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1、</w:t>
            </w:r>
            <w:r>
              <w:rPr>
                <w:color w:val="000000"/>
                <w:sz w:val="22"/>
                <w:szCs w:val="22"/>
              </w:rPr>
              <w:t>项目</w:t>
            </w:r>
            <w:r>
              <w:rPr>
                <w:rStyle w:val="12"/>
                <w:b/>
                <w:bCs/>
                <w:color w:val="000000"/>
                <w:sz w:val="22"/>
                <w:szCs w:val="22"/>
              </w:rPr>
              <w:t>知识产权清晰、无权属纠纷、无侵权行为</w:t>
            </w:r>
            <w:r>
              <w:rPr>
                <w:color w:val="000000"/>
                <w:sz w:val="22"/>
                <w:szCs w:val="22"/>
              </w:rPr>
              <w:t>，不侵犯他人专利、商标、著作权、商业秘密等合法权益。</w:t>
            </w:r>
          </w:p>
          <w:p w14:paraId="6CD1326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90" w:lineRule="exact"/>
              <w:ind w:left="0" w:leftChars="0" w:right="0" w:rightChars="0" w:firstLine="440" w:firstLineChars="200"/>
              <w:jc w:val="left"/>
              <w:textAlignment w:val="auto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2、</w:t>
            </w:r>
            <w:r>
              <w:rPr>
                <w:color w:val="000000"/>
                <w:sz w:val="22"/>
                <w:szCs w:val="22"/>
              </w:rPr>
              <w:t>涉及高校成果、合作技术、委托研发的，已取得完整授权或转让证明，可合法用于参赛与转化。</w:t>
            </w:r>
          </w:p>
          <w:p w14:paraId="481F329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90" w:lineRule="exact"/>
              <w:ind w:left="0" w:leftChars="0" w:right="0" w:rightChars="0" w:firstLine="440" w:firstLineChars="200"/>
              <w:jc w:val="left"/>
              <w:textAlignment w:val="auto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  <w:lang w:val="en-US" w:eastAsia="zh-CN"/>
              </w:rPr>
              <w:t>3、</w:t>
            </w:r>
            <w:r>
              <w:rPr>
                <w:color w:val="000000"/>
                <w:sz w:val="22"/>
                <w:szCs w:val="22"/>
              </w:rPr>
              <w:t>若发生权属或侵权纠纷，自行承担全部法律责任与经济损失，与主办方无关。</w:t>
            </w:r>
          </w:p>
          <w:p w14:paraId="0909B6D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90" w:lineRule="exact"/>
              <w:ind w:left="0" w:right="0" w:firstLine="442" w:firstLineChars="200"/>
              <w:jc w:val="left"/>
              <w:textAlignment w:val="auto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四、赛事配合与宣传承诺</w:t>
            </w:r>
          </w:p>
          <w:p w14:paraId="1F6DA88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90" w:lineRule="exact"/>
              <w:ind w:left="0" w:leftChars="0" w:right="0" w:rightChars="0" w:firstLine="440" w:firstLineChars="200"/>
              <w:jc w:val="left"/>
              <w:textAlignment w:val="auto"/>
              <w:rPr>
                <w:color w:val="auto"/>
                <w:sz w:val="22"/>
                <w:szCs w:val="22"/>
              </w:rPr>
            </w:pPr>
            <w:r>
              <w:rPr>
                <w:rFonts w:hint="eastAsia"/>
                <w:color w:val="auto"/>
                <w:sz w:val="22"/>
                <w:szCs w:val="22"/>
                <w:lang w:val="en-US" w:eastAsia="zh-CN"/>
              </w:rPr>
              <w:t>1、</w:t>
            </w:r>
            <w:r>
              <w:rPr>
                <w:color w:val="auto"/>
                <w:sz w:val="22"/>
                <w:szCs w:val="22"/>
              </w:rPr>
              <w:t>按时参加路演、评审、培训、对接等赛事活动，服从赛程安排与现场管理。</w:t>
            </w:r>
          </w:p>
          <w:p w14:paraId="5A9BBBE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90" w:lineRule="exact"/>
              <w:ind w:left="0" w:leftChars="0" w:right="0" w:rightChars="0" w:firstLine="440" w:firstLineChars="200"/>
              <w:jc w:val="left"/>
              <w:textAlignment w:val="auto"/>
              <w:rPr>
                <w:color w:val="auto"/>
                <w:sz w:val="22"/>
                <w:szCs w:val="22"/>
              </w:rPr>
            </w:pPr>
            <w:r>
              <w:rPr>
                <w:rFonts w:hint="eastAsia"/>
                <w:color w:val="auto"/>
                <w:sz w:val="22"/>
                <w:szCs w:val="22"/>
                <w:lang w:val="en-US" w:eastAsia="zh-CN"/>
              </w:rPr>
              <w:t>2、</w:t>
            </w:r>
            <w:r>
              <w:rPr>
                <w:color w:val="auto"/>
                <w:sz w:val="22"/>
                <w:szCs w:val="22"/>
              </w:rPr>
              <w:t>同意主办方对项目信息、成果、风采进行宣传推广，用于赛事总结与品牌传播（涉密内容已书面说明）。</w:t>
            </w:r>
          </w:p>
          <w:p w14:paraId="2356369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90" w:lineRule="exact"/>
              <w:ind w:left="0" w:leftChars="0" w:right="0" w:rightChars="0" w:firstLine="440" w:firstLineChars="200"/>
              <w:jc w:val="left"/>
              <w:textAlignment w:val="auto"/>
              <w:rPr>
                <w:rFonts w:hint="eastAsia" w:eastAsiaTheme="minorEastAsia"/>
                <w:color w:val="auto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auto"/>
                <w:sz w:val="22"/>
                <w:szCs w:val="22"/>
                <w:lang w:val="en-US" w:eastAsia="zh-CN"/>
              </w:rPr>
              <w:t>3、</w:t>
            </w:r>
            <w:r>
              <w:rPr>
                <w:color w:val="auto"/>
                <w:sz w:val="22"/>
                <w:szCs w:val="22"/>
              </w:rPr>
              <w:t xml:space="preserve">授权主办方在 </w:t>
            </w:r>
            <w:r>
              <w:rPr>
                <w:rFonts w:hint="eastAsia"/>
                <w:color w:val="auto"/>
                <w:sz w:val="22"/>
                <w:szCs w:val="22"/>
                <w:lang w:eastAsia="zh-CN"/>
              </w:rPr>
              <w:t>“</w:t>
            </w:r>
            <w:r>
              <w:rPr>
                <w:rFonts w:hint="eastAsia"/>
                <w:color w:val="auto"/>
                <w:sz w:val="22"/>
                <w:szCs w:val="22"/>
                <w:lang w:val="en-US" w:eastAsia="zh-CN"/>
              </w:rPr>
              <w:t>长江日报</w:t>
            </w:r>
            <w:r>
              <w:rPr>
                <w:rFonts w:hint="eastAsia"/>
                <w:color w:val="auto"/>
                <w:sz w:val="22"/>
                <w:szCs w:val="22"/>
                <w:lang w:eastAsia="zh-CN"/>
              </w:rPr>
              <w:t>”“</w:t>
            </w:r>
            <w:r>
              <w:rPr>
                <w:rFonts w:hint="eastAsia"/>
                <w:color w:val="auto"/>
                <w:sz w:val="22"/>
                <w:szCs w:val="22"/>
                <w:lang w:val="en-US" w:eastAsia="zh-CN"/>
              </w:rPr>
              <w:t>大江金岸</w:t>
            </w:r>
            <w:r>
              <w:rPr>
                <w:rFonts w:hint="eastAsia"/>
                <w:color w:val="auto"/>
                <w:sz w:val="22"/>
                <w:szCs w:val="22"/>
                <w:lang w:eastAsia="zh-CN"/>
              </w:rPr>
              <w:t>”</w:t>
            </w:r>
            <w:r>
              <w:rPr>
                <w:color w:val="auto"/>
                <w:sz w:val="22"/>
                <w:szCs w:val="22"/>
              </w:rPr>
              <w:t>平台等官方渠道公示相关信息，接受社会监督</w:t>
            </w:r>
            <w:r>
              <w:rPr>
                <w:rFonts w:hint="eastAsia"/>
                <w:color w:val="auto"/>
                <w:sz w:val="22"/>
                <w:szCs w:val="22"/>
                <w:lang w:eastAsia="zh-CN"/>
              </w:rPr>
              <w:t>。</w:t>
            </w:r>
          </w:p>
          <w:p w14:paraId="11D3BE00">
            <w:pPr>
              <w:snapToGrid w:val="0"/>
              <w:ind w:firstLine="0" w:firstLineChars="0"/>
              <w:jc w:val="both"/>
              <w:rPr>
                <w:rFonts w:hint="eastAsia" w:ascii="新宋体" w:hAnsi="新宋体" w:eastAsia="新宋体"/>
                <w:sz w:val="22"/>
                <w:szCs w:val="22"/>
              </w:rPr>
            </w:pPr>
            <w:r>
              <w:rPr>
                <w:rFonts w:hint="eastAsia" w:ascii="新宋体" w:hAnsi="新宋体" w:eastAsia="新宋体"/>
                <w:sz w:val="22"/>
                <w:szCs w:val="22"/>
              </w:rPr>
              <w:t xml:space="preserve">                                           </w:t>
            </w:r>
          </w:p>
          <w:p w14:paraId="4F82A73E">
            <w:pPr>
              <w:snapToGrid w:val="0"/>
              <w:ind w:firstLine="5080" w:firstLineChars="2300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Style w:val="12"/>
                <w:rFonts w:ascii="宋体" w:hAnsi="宋体" w:eastAsia="宋体" w:cs="宋体"/>
                <w:b/>
                <w:bCs/>
                <w:color w:val="000000"/>
                <w:sz w:val="22"/>
                <w:szCs w:val="22"/>
              </w:rPr>
              <w:t>项目负责人签字</w:t>
            </w:r>
            <w:r>
              <w:rPr>
                <w:rFonts w:ascii="宋体" w:hAnsi="宋体" w:eastAsia="宋体" w:cs="宋体"/>
                <w:sz w:val="22"/>
                <w:szCs w:val="22"/>
              </w:rPr>
              <w:t>：</w:t>
            </w:r>
            <w:r>
              <w:rPr>
                <w:rFonts w:hint="eastAsia" w:ascii="宋体" w:hAnsi="宋体" w:eastAsia="宋体" w:cs="宋体"/>
                <w:sz w:val="22"/>
                <w:szCs w:val="22"/>
                <w:u w:val="single"/>
                <w:lang w:val="en-US" w:eastAsia="zh-CN"/>
              </w:rPr>
              <w:t xml:space="preserve">             </w:t>
            </w:r>
          </w:p>
          <w:p w14:paraId="5F7CEBFE">
            <w:pPr>
              <w:snapToGrid w:val="0"/>
              <w:ind w:firstLine="6160" w:firstLineChars="2800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</w:p>
          <w:p w14:paraId="6F608B79">
            <w:pPr>
              <w:snapToGrid w:val="0"/>
              <w:ind w:firstLine="5080" w:firstLineChars="2300"/>
              <w:jc w:val="both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Style w:val="12"/>
                <w:rFonts w:ascii="宋体" w:hAnsi="宋体" w:eastAsia="宋体" w:cs="宋体"/>
                <w:b/>
                <w:bCs/>
                <w:color w:val="000000"/>
                <w:sz w:val="22"/>
                <w:szCs w:val="22"/>
              </w:rPr>
              <w:t>单位盖章（如有）</w:t>
            </w:r>
            <w:r>
              <w:rPr>
                <w:rFonts w:ascii="宋体" w:hAnsi="宋体" w:eastAsia="宋体" w:cs="宋体"/>
                <w:sz w:val="22"/>
                <w:szCs w:val="22"/>
              </w:rPr>
              <w:t>：</w:t>
            </w:r>
            <w:r>
              <w:rPr>
                <w:rFonts w:hint="eastAsia" w:ascii="宋体" w:hAnsi="宋体" w:eastAsia="宋体" w:cs="宋体"/>
                <w:sz w:val="22"/>
                <w:szCs w:val="22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 xml:space="preserve">  </w:t>
            </w:r>
          </w:p>
          <w:p w14:paraId="3A9D3299">
            <w:pPr>
              <w:snapToGrid w:val="0"/>
              <w:ind w:firstLine="6160" w:firstLineChars="2800"/>
              <w:jc w:val="both"/>
              <w:rPr>
                <w:rFonts w:ascii="宋体" w:hAnsi="宋体" w:eastAsia="宋体" w:cs="宋体"/>
                <w:sz w:val="22"/>
                <w:szCs w:val="22"/>
              </w:rPr>
            </w:pPr>
          </w:p>
          <w:p w14:paraId="379EC27B">
            <w:pPr>
              <w:snapToGrid w:val="0"/>
              <w:ind w:firstLine="5080" w:firstLineChars="2300"/>
              <w:jc w:val="both"/>
              <w:rPr>
                <w:rFonts w:hint="eastAsia" w:ascii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Style w:val="12"/>
                <w:rFonts w:ascii="宋体" w:hAnsi="宋体" w:eastAsia="宋体" w:cs="宋体"/>
                <w:b/>
                <w:bCs/>
                <w:color w:val="000000"/>
                <w:sz w:val="22"/>
                <w:szCs w:val="22"/>
              </w:rPr>
              <w:t>日期</w:t>
            </w:r>
            <w:r>
              <w:rPr>
                <w:rFonts w:ascii="宋体" w:hAnsi="宋体" w:eastAsia="宋体" w:cs="宋体"/>
                <w:sz w:val="22"/>
                <w:szCs w:val="22"/>
              </w:rPr>
              <w:t>：______年____月____日</w:t>
            </w:r>
          </w:p>
        </w:tc>
      </w:tr>
    </w:tbl>
    <w:p w14:paraId="4A619DAC"/>
    <w:p w14:paraId="6ACED1AC"/>
    <w:p w14:paraId="7656BA23">
      <w:pPr>
        <w:pStyle w:val="13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附件</w:t>
      </w:r>
    </w:p>
    <w:p w14:paraId="11F09AA7">
      <w:pPr>
        <w:pStyle w:val="3"/>
        <w:rPr>
          <w:rFonts w:hint="eastAsia" w:ascii="方正小标宋_GBK" w:hAnsi="方正小标宋_GBK" w:eastAsia="方正小标宋_GBK" w:cs="方正小标宋_GBK"/>
          <w:bCs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bCs/>
          <w:sz w:val="32"/>
          <w:szCs w:val="32"/>
          <w:lang w:val="en-US" w:eastAsia="zh-CN"/>
        </w:rPr>
        <w:t xml:space="preserve">                  </w:t>
      </w:r>
      <w:r>
        <w:rPr>
          <w:rFonts w:hint="eastAsia" w:ascii="方正小标宋_GBK" w:hAnsi="方正小标宋_GBK" w:eastAsia="方正小标宋_GBK" w:cs="方正小标宋_GBK"/>
          <w:bCs/>
          <w:sz w:val="44"/>
          <w:szCs w:val="44"/>
          <w:lang w:val="en-US" w:eastAsia="zh-CN"/>
        </w:rPr>
        <w:t xml:space="preserve">  申报资料清单</w:t>
      </w:r>
    </w:p>
    <w:p w14:paraId="66492BDB">
      <w:pPr>
        <w:pStyle w:val="3"/>
        <w:ind w:firstLine="640" w:firstLineChars="200"/>
        <w:rPr>
          <w:rFonts w:hint="eastAsia" w:ascii="CESI黑体-GB2312" w:hAnsi="CESI黑体-GB2312" w:eastAsia="CESI黑体-GB2312" w:cs="CESI黑体-GB2312"/>
          <w:bCs/>
          <w:sz w:val="32"/>
          <w:szCs w:val="32"/>
          <w:lang w:val="en-US" w:eastAsia="zh-CN"/>
        </w:rPr>
      </w:pPr>
    </w:p>
    <w:p w14:paraId="46C98763">
      <w:pPr>
        <w:pStyle w:val="3"/>
        <w:ind w:firstLine="640" w:firstLineChars="200"/>
        <w:rPr>
          <w:rFonts w:hint="eastAsia" w:ascii="CESI黑体-GB2312" w:hAnsi="CESI黑体-GB2312" w:eastAsia="CESI黑体-GB2312" w:cs="CESI黑体-GB2312"/>
          <w:bCs/>
          <w:sz w:val="32"/>
          <w:szCs w:val="32"/>
          <w:lang w:val="en-US" w:eastAsia="zh-CN"/>
        </w:rPr>
      </w:pPr>
      <w:r>
        <w:rPr>
          <w:rFonts w:hint="eastAsia" w:ascii="CESI黑体-GB2312" w:hAnsi="CESI黑体-GB2312" w:eastAsia="CESI黑体-GB2312" w:cs="CESI黑体-GB2312"/>
          <w:bCs/>
          <w:sz w:val="32"/>
          <w:szCs w:val="32"/>
          <w:lang w:val="en-US" w:eastAsia="zh-CN"/>
        </w:rPr>
        <w:t>一、创业团队类</w:t>
      </w:r>
    </w:p>
    <w:p w14:paraId="3733D30F">
      <w:pPr>
        <w:pStyle w:val="3"/>
        <w:ind w:firstLine="640" w:firstLineChars="200"/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</w:pPr>
      <w:r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  <w:t>（一）基本信息</w:t>
      </w:r>
    </w:p>
    <w:p w14:paraId="33F77FB4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1.《灵智江城-赛博龙虾｜长江岸创·智能体创新大赛报名表》（如申报主体为高校师生创新创业团队的需加盖</w:t>
      </w:r>
      <w:bookmarkStart w:id="0" w:name="_GoBack"/>
      <w:r>
        <w:rPr>
          <w:rFonts w:hint="eastAsia" w:ascii="仿宋_GB2312" w:hAnsi="宋体" w:eastAsia="仿宋_GB2312" w:cs="仿宋_GB2312"/>
          <w:bCs/>
          <w:color w:val="auto"/>
          <w:sz w:val="32"/>
          <w:szCs w:val="32"/>
          <w:lang w:val="en-US" w:eastAsia="zh-CN"/>
        </w:rPr>
        <w:t>本</w:t>
      </w:r>
      <w:bookmarkEnd w:id="0"/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学院公章），其中项目承诺部分须由项目核心团队全体成员签名并按指印。</w:t>
      </w:r>
    </w:p>
    <w:p w14:paraId="5E20D216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2.提供核心团队及人员简介：包含团队介绍、核心成员名单及分工、承担项目情况、主要产品及业务、关键核心技术、主要技术合作单位、获奖情况等。</w:t>
      </w:r>
    </w:p>
    <w:p w14:paraId="27ECCD83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3.核心成员身份证、最高学历学位以及职务职称证书、获得“人才称号”文件及证书等复印件，创业或者大厂经历，以及过往项目成果。</w:t>
      </w:r>
    </w:p>
    <w:p w14:paraId="637F7620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4.2023年以来，参加创新创业赛事获奖的相关证明材料（获奖证书、完整的赛事报名材料应包含但不限于获奖项目基本信息、核心团队介绍、商业计划书、知识产权、承担科研项目等内容）或获得大学生创业扶持项目专项资金支持的证明材料（认定文件、申报创业扶持项目完整的申报材料应包含但不限于项目基本信息、核心团队介绍、商业计划书、知识产权、承担科研项目等内容等）（原件彩色扫描件）。</w:t>
      </w:r>
    </w:p>
    <w:p w14:paraId="7C1712C9">
      <w:pPr>
        <w:pStyle w:val="3"/>
        <w:ind w:firstLine="640" w:firstLineChars="200"/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</w:pPr>
      <w:r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  <w:t>（二）项目基本情况</w:t>
      </w:r>
    </w:p>
    <w:p w14:paraId="75761D79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1.核心产品情况</w:t>
      </w:r>
    </w:p>
    <w:p w14:paraId="54EFEF01">
      <w:pPr>
        <w:pStyle w:val="3"/>
        <w:ind w:firstLine="640" w:firstLineChars="200"/>
        <w:rPr>
          <w:rFonts w:hint="default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2.其他（如有可补充）</w:t>
      </w:r>
    </w:p>
    <w:p w14:paraId="40922596">
      <w:pPr>
        <w:pStyle w:val="3"/>
        <w:ind w:firstLine="640" w:firstLineChars="200"/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</w:pPr>
      <w:r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  <w:t>（三）技术与创新能力</w:t>
      </w:r>
    </w:p>
    <w:p w14:paraId="7F06F27B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1.技术架构与路线情况</w:t>
      </w:r>
    </w:p>
    <w:p w14:paraId="732238FA">
      <w:pPr>
        <w:pStyle w:val="3"/>
        <w:ind w:firstLine="640" w:firstLineChars="200"/>
        <w:rPr>
          <w:rFonts w:hint="default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2.核心创新点</w:t>
      </w:r>
    </w:p>
    <w:p w14:paraId="7412D108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3.知识产权：发明专利（含国防专利）、实用新型专利、外观设计专利、软件著作权、商标等，提供电子版授权知识产权证书及最近一次缴费证明复印件，或授权通知书及缴费收据复印件；参与制定标准等证明材料。</w:t>
      </w:r>
    </w:p>
    <w:p w14:paraId="36FE5152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4.自建或者调用算力、自研或调用第三方大模型、使用数据资源以及Token情况等。</w:t>
      </w:r>
    </w:p>
    <w:p w14:paraId="2EE892E6">
      <w:pPr>
        <w:pStyle w:val="3"/>
        <w:ind w:firstLine="640" w:firstLineChars="200"/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</w:pPr>
      <w:r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  <w:t>（四）产品与商业化进展情况</w:t>
      </w:r>
    </w:p>
    <w:p w14:paraId="4A44318D">
      <w:pPr>
        <w:pStyle w:val="3"/>
        <w:ind w:firstLine="640" w:firstLineChars="200"/>
        <w:rPr>
          <w:rFonts w:hint="default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可结合实际情况补充材料。</w:t>
      </w:r>
    </w:p>
    <w:p w14:paraId="41AA0F2E">
      <w:pPr>
        <w:pStyle w:val="3"/>
        <w:ind w:firstLine="640" w:firstLineChars="200"/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</w:pPr>
      <w:r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  <w:t>（五）市场与竞争分析情况</w:t>
      </w:r>
    </w:p>
    <w:p w14:paraId="566009E3">
      <w:pPr>
        <w:pStyle w:val="3"/>
        <w:ind w:firstLine="640" w:firstLineChars="200"/>
        <w:rPr>
          <w:rFonts w:hint="default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可结合市场预期补充材料。</w:t>
      </w:r>
    </w:p>
    <w:p w14:paraId="00C909EC">
      <w:pPr>
        <w:pStyle w:val="3"/>
        <w:ind w:firstLine="640" w:firstLineChars="200"/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</w:pPr>
      <w:r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  <w:t>（六）产业化落地与江岸适配性情况</w:t>
      </w:r>
    </w:p>
    <w:p w14:paraId="655D4979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1.落地需求：办公空间面积及配套服务，正在洽谈的OPC社区或者孵化器；</w:t>
      </w:r>
    </w:p>
    <w:p w14:paraId="43CE75FC">
      <w:pPr>
        <w:pStyle w:val="3"/>
        <w:ind w:firstLine="640" w:firstLineChars="200"/>
        <w:rPr>
          <w:rFonts w:hint="default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2.产学研合作情况。</w:t>
      </w:r>
    </w:p>
    <w:p w14:paraId="2A092F2A">
      <w:pPr>
        <w:pStyle w:val="3"/>
        <w:ind w:firstLine="640" w:firstLineChars="200"/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</w:pPr>
      <w:r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  <w:t>（七）融资规划情况</w:t>
      </w:r>
    </w:p>
    <w:p w14:paraId="6D231C93">
      <w:pPr>
        <w:pStyle w:val="3"/>
        <w:ind w:firstLine="640" w:firstLineChars="200"/>
        <w:rPr>
          <w:rFonts w:hint="default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拟融资规模及资金用途。</w:t>
      </w:r>
    </w:p>
    <w:p w14:paraId="582CFC32">
      <w:pPr>
        <w:pStyle w:val="3"/>
        <w:ind w:firstLine="640" w:firstLineChars="200"/>
        <w:rPr>
          <w:rFonts w:hint="eastAsia" w:ascii="CESI黑体-GB2312" w:hAnsi="CESI黑体-GB2312" w:eastAsia="CESI黑体-GB2312" w:cs="CESI黑体-GB2312"/>
          <w:bCs/>
          <w:sz w:val="32"/>
          <w:szCs w:val="32"/>
          <w:lang w:val="en-US" w:eastAsia="zh-CN"/>
        </w:rPr>
      </w:pPr>
    </w:p>
    <w:p w14:paraId="59D1E1A5">
      <w:pPr>
        <w:pStyle w:val="3"/>
        <w:ind w:firstLine="640" w:firstLineChars="200"/>
        <w:rPr>
          <w:rFonts w:hint="eastAsia" w:ascii="CESI黑体-GB2312" w:hAnsi="CESI黑体-GB2312" w:eastAsia="CESI黑体-GB2312" w:cs="CESI黑体-GB2312"/>
          <w:bCs/>
          <w:sz w:val="32"/>
          <w:szCs w:val="32"/>
          <w:lang w:val="en-US" w:eastAsia="zh-CN"/>
        </w:rPr>
      </w:pPr>
    </w:p>
    <w:p w14:paraId="3C30511B">
      <w:pPr>
        <w:pStyle w:val="3"/>
        <w:ind w:firstLine="640" w:firstLineChars="200"/>
        <w:rPr>
          <w:rFonts w:hint="eastAsia" w:ascii="CESI黑体-GB2312" w:hAnsi="CESI黑体-GB2312" w:eastAsia="CESI黑体-GB2312" w:cs="CESI黑体-GB2312"/>
          <w:bCs/>
          <w:sz w:val="32"/>
          <w:szCs w:val="32"/>
          <w:lang w:val="en-US" w:eastAsia="zh-CN"/>
        </w:rPr>
      </w:pPr>
      <w:r>
        <w:rPr>
          <w:rFonts w:hint="eastAsia" w:ascii="CESI黑体-GB2312" w:hAnsi="CESI黑体-GB2312" w:eastAsia="CESI黑体-GB2312" w:cs="CESI黑体-GB2312"/>
          <w:bCs/>
          <w:sz w:val="32"/>
          <w:szCs w:val="32"/>
          <w:lang w:val="en-US" w:eastAsia="zh-CN"/>
        </w:rPr>
        <w:t>二、企业类</w:t>
      </w:r>
    </w:p>
    <w:p w14:paraId="387813DB">
      <w:pPr>
        <w:pStyle w:val="3"/>
        <w:ind w:firstLine="640" w:firstLineChars="200"/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</w:pPr>
      <w:r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  <w:t>（一）基本信息</w:t>
      </w:r>
    </w:p>
    <w:p w14:paraId="55A5853D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1.《灵智江城-赛博龙虾｜长江岸创·智能体创新大赛报名表》（加盖企业公章），其中项目承诺须加盖企业公章；</w:t>
      </w:r>
    </w:p>
    <w:p w14:paraId="3E4C7E4A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2.企业基本情况证明材料：</w:t>
      </w:r>
    </w:p>
    <w:p w14:paraId="1C80F9B7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（1）企业营业执照原件彩色扫描件（加盖企业公章）;</w:t>
      </w:r>
    </w:p>
    <w:p w14:paraId="74B88A7A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（2）企业公共信用信息报告（信用中国下载，加盖企业公章）；</w:t>
      </w:r>
    </w:p>
    <w:p w14:paraId="5F2F4F6B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（3）企业资质证明材料：（根据企业自身实际资质情况提交）全国科技型中小企业信息库查询结果截图（http://www.chinatorch.gov.cn/zxqyfw/index.shtml）、创新型中小企业认定通告、专精特新证书、国家高新技术企业证书、企业研发机构证书、省级以上研发技术平台证书等（加盖企业公章）；</w:t>
      </w:r>
    </w:p>
    <w:p w14:paraId="328364DD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3.提供核心团队及人员简介：2025年在职人员社会保险参保材料；编制核心人员名单（序号、姓名、身份证号、学历学位、工作岗位及入职时间），有兼职、临时聘用人员的，提供聘用合同和工资清单（如银行流水）等材料；</w:t>
      </w:r>
    </w:p>
    <w:p w14:paraId="50A032AA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4.提供企业主要产品及业务、关键核心技术、主要合作单位、市场拓展等情况；</w:t>
      </w:r>
    </w:p>
    <w:p w14:paraId="608BA28C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5.参加创新创业赛事获奖的相关证明材料（获奖证书及完整的赛事报名材料等）（原件彩色扫描件）。</w:t>
      </w:r>
    </w:p>
    <w:p w14:paraId="77C25429">
      <w:pPr>
        <w:pStyle w:val="3"/>
        <w:ind w:firstLine="640" w:firstLineChars="200"/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</w:pPr>
      <w:r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  <w:t>（二）项目基本情况</w:t>
      </w:r>
    </w:p>
    <w:p w14:paraId="65C61296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1.核心产品情况；</w:t>
      </w:r>
    </w:p>
    <w:p w14:paraId="03BCB7FD">
      <w:pPr>
        <w:pStyle w:val="3"/>
        <w:ind w:firstLine="640" w:firstLineChars="200"/>
        <w:rPr>
          <w:rFonts w:hint="default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2.可补充技术研发、应用场景应用等方面材料。</w:t>
      </w:r>
    </w:p>
    <w:p w14:paraId="02EF63EE">
      <w:pPr>
        <w:pStyle w:val="3"/>
        <w:ind w:firstLine="640" w:firstLineChars="200"/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</w:pPr>
      <w:r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  <w:t>（三）技术与创新能力</w:t>
      </w:r>
    </w:p>
    <w:p w14:paraId="0321ED04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1.技术架构与路线情况；</w:t>
      </w:r>
    </w:p>
    <w:p w14:paraId="2EDA0085">
      <w:pPr>
        <w:pStyle w:val="3"/>
        <w:ind w:firstLine="640" w:firstLineChars="200"/>
        <w:rPr>
          <w:rFonts w:hint="default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2.核心创新点；</w:t>
      </w:r>
    </w:p>
    <w:p w14:paraId="168A0496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3.知识产权：发明专利（含国防专利）、实用新型专利、外观设计专利、软件著作权、商标等，提供电子版授权知识产权证书及最近一次缴费证明复印件，或授权通知书及缴费收据复印件；参与制定标准等证明材料；</w:t>
      </w:r>
    </w:p>
    <w:p w14:paraId="7278C76F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4.自建或者调用算力、自研或调用第三方大模型、使用数据资源以及Token情况等。</w:t>
      </w:r>
    </w:p>
    <w:p w14:paraId="55990953">
      <w:pPr>
        <w:pStyle w:val="3"/>
        <w:ind w:firstLine="640" w:firstLineChars="200"/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</w:pPr>
      <w:r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  <w:t>（四）产品与商业化进展情况</w:t>
      </w:r>
    </w:p>
    <w:p w14:paraId="239C7BFB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1.可结合实际情况补充产品完成度、客户验证、商业模式等方面材料；</w:t>
      </w:r>
    </w:p>
    <w:p w14:paraId="1805C718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2.经营数据证明材料:</w:t>
      </w:r>
    </w:p>
    <w:p w14:paraId="78DE70C1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（1）企业上两个会计年度研究开发费用专项审计报告；</w:t>
      </w:r>
    </w:p>
    <w:p w14:paraId="6B91D0FA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（2）企业上两个会计年度财务审计报告；</w:t>
      </w:r>
    </w:p>
    <w:p w14:paraId="38CE0ED9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（3）企业上两个会计年度的年度纳税申报主表和附表（封面加盖税务相关部门公章和企业公章）。</w:t>
      </w:r>
    </w:p>
    <w:p w14:paraId="6B0F29A6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对在申报截止日期不能出具研究2025年度研究开发费用专项审计报告、年度财务审计报告的，企业可提供2025年12月或2025年4季度纳税申报表[含增值税申报表、企业所得税季度申报表、财务报表（财务报表中研发费用需有明确的金额）]（加盖企业公章）、研发费用辅助账。</w:t>
      </w:r>
    </w:p>
    <w:p w14:paraId="48F155EE">
      <w:pPr>
        <w:pStyle w:val="3"/>
        <w:ind w:firstLine="640" w:firstLineChars="200"/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</w:pPr>
      <w:r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  <w:t>（五）市场与竞争分析情况</w:t>
      </w:r>
    </w:p>
    <w:p w14:paraId="64EE535C">
      <w:pPr>
        <w:pStyle w:val="3"/>
        <w:ind w:firstLine="640" w:firstLineChars="200"/>
        <w:rPr>
          <w:rFonts w:hint="default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可根据产品优势、已经达成的合作意向、拟投入的研发成本以及预计营收等方面补充市场预期材料。</w:t>
      </w:r>
    </w:p>
    <w:p w14:paraId="5F5EAEB4">
      <w:pPr>
        <w:pStyle w:val="3"/>
        <w:ind w:firstLine="640" w:firstLineChars="200"/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</w:pPr>
      <w:r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  <w:t>（六）产业化落地与江岸适配性情况</w:t>
      </w:r>
    </w:p>
    <w:p w14:paraId="4586ED39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1.落地情况：落地项目直接写明注册和办公地址；未落地江岸项目，可以提出办公空间面积及配套服务，提供正在洽谈的OPC社区、孵化器或者园区楼宇洽谈情况；</w:t>
      </w:r>
    </w:p>
    <w:p w14:paraId="45DE0C52">
      <w:pPr>
        <w:pStyle w:val="3"/>
        <w:ind w:firstLine="640" w:firstLineChars="200"/>
        <w:rPr>
          <w:rFonts w:hint="default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2.产学研合作情况：提供与国内外研究开发机构开展产学研合作协议及相关证明材料。</w:t>
      </w:r>
    </w:p>
    <w:p w14:paraId="7838AC67">
      <w:pPr>
        <w:pStyle w:val="3"/>
        <w:ind w:firstLine="640" w:firstLineChars="200"/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</w:pPr>
      <w:r>
        <w:rPr>
          <w:rFonts w:hint="eastAsia" w:ascii="方正楷体_GBK" w:hAnsi="方正楷体_GBK" w:eastAsia="方正楷体_GBK" w:cs="方正楷体_GBK"/>
          <w:bCs/>
          <w:sz w:val="32"/>
          <w:szCs w:val="32"/>
          <w:lang w:val="en-US" w:eastAsia="zh-CN"/>
        </w:rPr>
        <w:t>（七）融资规划情况</w:t>
      </w:r>
    </w:p>
    <w:p w14:paraId="3FEC8D5F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1.获得投融资的企业，应提供投融资相关证明材料，含投资协议、到款凭证和股权变更登记等。</w:t>
      </w:r>
    </w:p>
    <w:p w14:paraId="48B48051">
      <w:pPr>
        <w:pStyle w:val="3"/>
        <w:ind w:firstLine="640" w:firstLineChars="200"/>
        <w:rPr>
          <w:rFonts w:hint="default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>2.暂未获得投融资的企业，可写明拟融资规模及资金用途。</w:t>
      </w:r>
    </w:p>
    <w:p w14:paraId="5C6376C0">
      <w:pPr>
        <w:pStyle w:val="3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</w:p>
    <w:p w14:paraId="3A7ACB63">
      <w:pPr>
        <w:pStyle w:val="3"/>
        <w:ind w:firstLine="640" w:firstLineChars="200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  <w:tab/>
      </w:r>
    </w:p>
    <w:p w14:paraId="605126E5">
      <w:pPr>
        <w:pStyle w:val="13"/>
        <w:rPr>
          <w:rFonts w:hint="eastAsia" w:ascii="仿宋_GB2312" w:hAnsi="宋体" w:eastAsia="仿宋_GB2312" w:cs="仿宋_GB2312"/>
          <w:bCs/>
          <w:sz w:val="32"/>
          <w:szCs w:val="32"/>
          <w:lang w:val="en-US" w:eastAsia="zh-CN"/>
        </w:rPr>
      </w:pPr>
    </w:p>
    <w:p w14:paraId="7DDB4EA0"/>
    <w:sectPr>
      <w:footerReference r:id="rId3" w:type="default"/>
      <w:pgSz w:w="11906" w:h="16838"/>
      <w:pgMar w:top="2098" w:right="1531" w:bottom="1984" w:left="153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E4DFFC6-5FDE-40DB-93EE-1B72337DCA5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B04625F4-8ED7-48C7-9C37-EBC185DB63C5}"/>
  </w:font>
  <w:font w:name="仿宋_GB2312">
    <w:panose1 w:val="02010609030101010101"/>
    <w:charset w:val="86"/>
    <w:family w:val="roman"/>
    <w:pitch w:val="default"/>
    <w:sig w:usb0="00000001" w:usb1="080E0000" w:usb2="00000000" w:usb3="00000000" w:csb0="00040000" w:csb1="00000000"/>
    <w:embedRegular r:id="rId3" w:fontKey="{02C7546B-BF96-4C77-B4D7-D3353A8093DC}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71A06C3A-08B4-4533-A360-D708310ECB1F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5" w:fontKey="{A8FC2733-AB0B-40EE-9C72-CD2568908078}"/>
  </w:font>
  <w:font w:name="文星黑体">
    <w:altName w:val="黑体"/>
    <w:panose1 w:val="02010609000101010101"/>
    <w:charset w:val="86"/>
    <w:family w:val="modern"/>
    <w:pitch w:val="default"/>
    <w:sig w:usb0="00000000" w:usb1="00000000" w:usb2="00000000" w:usb3="00000000" w:csb0="00040000" w:csb1="00000000"/>
    <w:embedRegular r:id="rId6" w:fontKey="{10B2F027-FB05-42A4-94EE-0C026C9CA1C6}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  <w:embedRegular r:id="rId7" w:fontKey="{7BA4C7E4-EB9F-4EF4-93BC-23A3F160B357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8" w:fontKey="{994E72ED-8DDD-4FA5-B74C-CB302BE111A6}"/>
  </w:font>
  <w:font w:name="CESI黑体-GB2312">
    <w:altName w:val="黑体"/>
    <w:panose1 w:val="02000500000000000000"/>
    <w:charset w:val="86"/>
    <w:family w:val="auto"/>
    <w:pitch w:val="default"/>
    <w:sig w:usb0="00000000" w:usb1="00000000" w:usb2="00000012" w:usb3="00000000" w:csb0="0004000F" w:csb1="00000000"/>
    <w:embedRegular r:id="rId9" w:fontKey="{616C6510-8AC1-4006-A916-ACE2C44FA97C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10" w:fontKey="{10C1F309-A3ED-4D7C-8FC7-3D2A1B0D873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0E8877">
    <w:pPr>
      <w:pStyle w:val="6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437596F2">
                          <w:pPr>
                            <w:pStyle w:val="6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oaYJL0wAAAAUBAAAPAAAAAAAAAAEAIAAAACIAAABk&#10;cnMvZG93bnJldi54bWxQSwECFAAUAAAACACHTuJAIoso5NIBAACjAwAADgAAAAAAAAABACAAAAAi&#10;AQAAZHJzL2Uyb0RvYy54bWxQSwUGAAAAAAYABgBZAQAAZgUAAAAA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437596F2">
                    <w:pPr>
                      <w:pStyle w:val="6"/>
                      <w:jc w:val="center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55F743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0D032F"/>
    <w:rsid w:val="09F5848E"/>
    <w:rsid w:val="0A401AA0"/>
    <w:rsid w:val="12B03509"/>
    <w:rsid w:val="140D032F"/>
    <w:rsid w:val="177A7043"/>
    <w:rsid w:val="23A57A14"/>
    <w:rsid w:val="37FBB16C"/>
    <w:rsid w:val="380B1C8B"/>
    <w:rsid w:val="3E1C6187"/>
    <w:rsid w:val="3F6B1EC1"/>
    <w:rsid w:val="412824D1"/>
    <w:rsid w:val="439A4239"/>
    <w:rsid w:val="44E34401"/>
    <w:rsid w:val="49D4639E"/>
    <w:rsid w:val="4C401D8A"/>
    <w:rsid w:val="576D24F2"/>
    <w:rsid w:val="599FE054"/>
    <w:rsid w:val="5B8A3673"/>
    <w:rsid w:val="5D8E0BE9"/>
    <w:rsid w:val="65FF61F0"/>
    <w:rsid w:val="675CC46A"/>
    <w:rsid w:val="6BFB1720"/>
    <w:rsid w:val="6DBF295C"/>
    <w:rsid w:val="6F7E3C3F"/>
    <w:rsid w:val="7127461C"/>
    <w:rsid w:val="7C6B0763"/>
    <w:rsid w:val="7CEBA604"/>
    <w:rsid w:val="7EDF42A9"/>
    <w:rsid w:val="7EEA219A"/>
    <w:rsid w:val="7FF92991"/>
    <w:rsid w:val="7FFE177D"/>
    <w:rsid w:val="8F9BD946"/>
    <w:rsid w:val="B29AAFA5"/>
    <w:rsid w:val="BACF95D7"/>
    <w:rsid w:val="BFFF7224"/>
    <w:rsid w:val="D8DFDA61"/>
    <w:rsid w:val="DDFA0E66"/>
    <w:rsid w:val="DFD83AAB"/>
    <w:rsid w:val="EBDDA0EC"/>
    <w:rsid w:val="EBFEA16F"/>
    <w:rsid w:val="EF7DC6EC"/>
    <w:rsid w:val="F7EC890A"/>
    <w:rsid w:val="FD79F277"/>
    <w:rsid w:val="FF2F1C7F"/>
    <w:rsid w:val="FF7B8176"/>
    <w:rsid w:val="FFF0AF8B"/>
    <w:rsid w:val="FFFF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3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4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unhideWhenUsed/>
    <w:qFormat/>
    <w:uiPriority w:val="99"/>
    <w:pPr>
      <w:ind w:firstLine="420" w:firstLineChars="100"/>
    </w:pPr>
    <w:rPr>
      <w:rFonts w:eastAsia="仿宋_GB2312"/>
      <w:sz w:val="32"/>
    </w:rPr>
  </w:style>
  <w:style w:type="paragraph" w:styleId="3">
    <w:name w:val="Body Text"/>
    <w:basedOn w:val="1"/>
    <w:qFormat/>
    <w:uiPriority w:val="3"/>
    <w:pPr>
      <w:spacing w:line="540" w:lineRule="exact"/>
      <w:jc w:val="left"/>
    </w:pPr>
    <w:rPr>
      <w:rFonts w:ascii="楷体_GB2312" w:eastAsia="楷体_GB2312"/>
      <w:sz w:val="32"/>
      <w:szCs w:val="20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index heading"/>
    <w:basedOn w:val="1"/>
    <w:next w:val="8"/>
    <w:qFormat/>
    <w:uiPriority w:val="0"/>
    <w:pPr>
      <w:spacing w:line="500" w:lineRule="exact"/>
    </w:pPr>
    <w:rPr>
      <w:rFonts w:ascii="仿宋_GB2312" w:hAnsi="Times New Roman" w:eastAsia="仿宋_GB2312" w:cs="仿宋_GB2312"/>
      <w:sz w:val="28"/>
      <w:szCs w:val="28"/>
    </w:rPr>
  </w:style>
  <w:style w:type="paragraph" w:styleId="8">
    <w:name w:val="index 1"/>
    <w:basedOn w:val="1"/>
    <w:next w:val="1"/>
    <w:qFormat/>
    <w:uiPriority w:val="0"/>
    <w:rPr>
      <w:rFonts w:ascii="Times New Roman" w:hAnsi="Times New Roman" w:eastAsia="宋体" w:cs="Times New Roman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正文_0"/>
    <w:next w:val="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3546</Words>
  <Characters>3738</Characters>
  <Lines>0</Lines>
  <Paragraphs>0</Paragraphs>
  <TotalTime>0</TotalTime>
  <ScaleCrop>false</ScaleCrop>
  <LinksUpToDate>false</LinksUpToDate>
  <CharactersWithSpaces>4271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2026-04-19T19:30:00Z</dcterms:created>
  <dc:creator>Omnivore</dc:creator>
  <cp:lastModifiedBy>大琪maxwell</cp:lastModifiedBy>
  <cp:lastPrinted>2026-05-21T09:45:00Z</cp:lastPrinted>
  <dcterms:modified xsi:type="dcterms:W3CDTF">2026-05-28T01:43:01Z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DB86CFA2F43B4A669866E235F8BCB6F4_13</vt:lpwstr>
  </property>
  <property fmtid="{D5CDD505-2E9C-101B-9397-08002B2CF9AE}" pid="4" name="KSOTemplateDocerSaveRecord">
    <vt:lpwstr>eyJoZGlkIjoiZDA1MTFmYzg4MDY3MjM0NDRjOThjMmRlZjk3MDE0MDAiLCJ1c2VySWQiOiIzNDE5MTc0NDAifQ==</vt:lpwstr>
  </property>
</Properties>
</file>