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608C9" w14:textId="77777777" w:rsidR="003D20A6" w:rsidRPr="003D20A6" w:rsidRDefault="003D20A6" w:rsidP="003D20A6">
      <w:r w:rsidRPr="003D20A6">
        <w:rPr>
          <w:b/>
          <w:bCs/>
        </w:rPr>
        <w:t>Analyse MB-PLS clusters y=3 : VEE</w:t>
      </w:r>
    </w:p>
    <w:p w14:paraId="4F2BF89C" w14:textId="489D2C2C" w:rsidR="003D20A6" w:rsidRPr="003D20A6" w:rsidRDefault="003D20A6" w:rsidP="003D20A6">
      <w:r w:rsidRPr="003D20A6">
        <w:t xml:space="preserve">L’information contenue dans les clusters obtenus en utilisant la méthode EEE est incluse dans celle obtenue en utilisant la méthode VEE. Nous allons donc nous contenter d’analyser les résultats obtenus avec </w:t>
      </w:r>
      <w:r>
        <w:t>la méthode VEE</w:t>
      </w:r>
      <w:r w:rsidRPr="003D20A6">
        <w:t>. Les modalités retenues pour caractériser les différents clusters sont celles dont la p-value est inférieure à 0,05, ce qui rend compte d’une corrélation avec le cluster.</w:t>
      </w:r>
    </w:p>
    <w:p w14:paraId="64ED6098" w14:textId="77777777" w:rsidR="003D20A6" w:rsidRPr="003D20A6" w:rsidRDefault="003D20A6" w:rsidP="003D20A6">
      <w:r w:rsidRPr="003D20A6">
        <w:t>Le cluster 1 suggère que si des antibiotiques sont disponibles en engraissement contre la toux, alors ils ne le sont pas en post-sevrage, et inversement. Cela semble cohérent, car une prise d’antibiotiques est souvent suffisante compte tenu de l’espérance de vie des cochons en élevage.</w:t>
      </w:r>
    </w:p>
    <w:p w14:paraId="019FA4F4" w14:textId="77777777" w:rsidR="003D20A6" w:rsidRPr="003D20A6" w:rsidRDefault="003D20A6" w:rsidP="003D20A6">
      <w:r w:rsidRPr="003D20A6">
        <w:t>Le cluster 2 ne présente pas d’information utile dans le cadre de notre projet.</w:t>
      </w:r>
    </w:p>
    <w:p w14:paraId="6487D02C" w14:textId="57AC1837" w:rsidR="003D20A6" w:rsidRPr="003D20A6" w:rsidRDefault="003D20A6" w:rsidP="003D20A6">
      <w:r w:rsidRPr="003D20A6">
        <w:t xml:space="preserve">Le cluster 3 permet de caractériser les </w:t>
      </w:r>
      <w:r>
        <w:t>porcs</w:t>
      </w:r>
      <w:r w:rsidRPr="003D20A6">
        <w:t xml:space="preserve"> malades en engraissement. Ces </w:t>
      </w:r>
      <w:r>
        <w:t>porcs</w:t>
      </w:r>
      <w:r w:rsidRPr="003D20A6">
        <w:t xml:space="preserve"> ont généralement reçu des antibiotiques contre la toux, que ce soit en post-sevrage ou en engraissement. Ceci est cohérent si l’on considère que l’éleveur les administre après avoir constaté la maladie. Il est d’ailleurs possible qu’un cochon ait développé la maladie et reçu les antibiotiques en post-sevrage, puis que la maladie ait</w:t>
      </w:r>
      <w:r>
        <w:t xml:space="preserve"> également</w:t>
      </w:r>
      <w:r w:rsidRPr="003D20A6">
        <w:t xml:space="preserve"> été constatée en engraissement, le temps que les antibiotiques fassent effet. On peut également constater, dans les élevages hébergeant ces </w:t>
      </w:r>
      <w:r>
        <w:t>porcs</w:t>
      </w:r>
      <w:r w:rsidRPr="003D20A6">
        <w:t xml:space="preserve">, la présence de trous dans la cloison, ou encore l’absence de lavage de matériel, avec un milieu dégradé (sol sale et/ou humide). Ce manquement sanitaire semble être un facteur du développement des maladies respiratoires chez les porcs. </w:t>
      </w:r>
      <w:r>
        <w:t>(</w:t>
      </w:r>
      <w:r w:rsidRPr="003D20A6">
        <w:t>À noter que les porcs semblent être davantage malades dans les élevages labellisés.</w:t>
      </w:r>
      <w:r>
        <w:t>)</w:t>
      </w:r>
    </w:p>
    <w:p w14:paraId="494A1648" w14:textId="3F8E826B" w:rsidR="003D20A6" w:rsidRPr="003D20A6" w:rsidRDefault="003D20A6" w:rsidP="003D20A6">
      <w:r w:rsidRPr="003D20A6">
        <w:t xml:space="preserve">Quant au cluster 4, il permet de caractériser les cochons sains. Ces derniers ont également </w:t>
      </w:r>
      <w:r>
        <w:t>pu recevoir</w:t>
      </w:r>
      <w:r w:rsidRPr="003D20A6">
        <w:t xml:space="preserve"> des antibiotiques en engraissement, ce qui semble s’interpréter dorénavant comme des </w:t>
      </w:r>
      <w:r>
        <w:t>porcs</w:t>
      </w:r>
      <w:r w:rsidRPr="003D20A6">
        <w:t xml:space="preserve"> ayant vaincu la maladie, ou alors comme une administration préventive d’antibiotiques. Une donnée plus intéressante concerne l’alimentation des porcs sains, puisqu’ils sont nourris avec des produits locaux (issus de la ferme). Notons également que, pour ces </w:t>
      </w:r>
      <w:r>
        <w:t>porcs</w:t>
      </w:r>
      <w:r w:rsidRPr="003D20A6">
        <w:t>, le lavage du matériel est effectué une fois par semaine.</w:t>
      </w:r>
    </w:p>
    <w:p w14:paraId="5641A41F" w14:textId="0534A70A" w:rsidR="003D20A6" w:rsidRDefault="003D20A6" w:rsidP="003D20A6">
      <w:r w:rsidRPr="003D20A6">
        <w:t>Finalement, le cluster 5 nous donne des renseignements sur les individus malades en post-sevrage. Il met en évidence des prédispositions dans le développement des maladies respiratoires chez le porc</w:t>
      </w:r>
      <w:r>
        <w:t xml:space="preserve"> </w:t>
      </w:r>
      <w:r w:rsidRPr="003D20A6">
        <w:t>portant la génétique Large White*</w:t>
      </w:r>
      <w:proofErr w:type="spellStart"/>
      <w:r w:rsidRPr="003D20A6">
        <w:t>Landrace</w:t>
      </w:r>
      <w:proofErr w:type="spellEnd"/>
      <w:r w:rsidRPr="003D20A6">
        <w:t xml:space="preserve">. </w:t>
      </w:r>
    </w:p>
    <w:p w14:paraId="3A45957C" w14:textId="3BCBF731" w:rsidR="003D20A6" w:rsidRPr="003D20A6" w:rsidRDefault="003D20A6" w:rsidP="003D20A6">
      <w:r w:rsidRPr="003D20A6">
        <w:t xml:space="preserve">On peut ainsi conclure que les maladies en post-sevrage semblent avoir une cause génétique, tandis qu’en engraissement, les raisons </w:t>
      </w:r>
      <w:r>
        <w:t>sont principalement</w:t>
      </w:r>
      <w:r w:rsidRPr="003D20A6">
        <w:t xml:space="preserve"> la qualité de l’alimentation des porcs ainsi que l’insalubrité de l’environnement.</w:t>
      </w:r>
    </w:p>
    <w:p w14:paraId="20AE3D23" w14:textId="77777777" w:rsidR="00E332A0" w:rsidRDefault="00E332A0"/>
    <w:p w14:paraId="272996F2" w14:textId="77777777" w:rsidR="000219AF" w:rsidRDefault="000219AF"/>
    <w:sectPr w:rsidR="000219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9AF"/>
    <w:rsid w:val="000219AF"/>
    <w:rsid w:val="003D20A6"/>
    <w:rsid w:val="006E5CD8"/>
    <w:rsid w:val="00AA386F"/>
    <w:rsid w:val="00BB2746"/>
    <w:rsid w:val="00D94F95"/>
    <w:rsid w:val="00E332A0"/>
    <w:rsid w:val="00FD73E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2FEAD"/>
  <w15:chartTrackingRefBased/>
  <w15:docId w15:val="{AAE6C666-E782-4B11-BBB9-9CBA76FD7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219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219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219A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219A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219A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219A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219A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219A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219A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219A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219A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219A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219A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219A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219A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219A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219A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219AF"/>
    <w:rPr>
      <w:rFonts w:eastAsiaTheme="majorEastAsia" w:cstheme="majorBidi"/>
      <w:color w:val="272727" w:themeColor="text1" w:themeTint="D8"/>
    </w:rPr>
  </w:style>
  <w:style w:type="paragraph" w:styleId="Titre">
    <w:name w:val="Title"/>
    <w:basedOn w:val="Normal"/>
    <w:next w:val="Normal"/>
    <w:link w:val="TitreCar"/>
    <w:uiPriority w:val="10"/>
    <w:qFormat/>
    <w:rsid w:val="000219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219A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219A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219A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219AF"/>
    <w:pPr>
      <w:spacing w:before="160"/>
      <w:jc w:val="center"/>
    </w:pPr>
    <w:rPr>
      <w:i/>
      <w:iCs/>
      <w:color w:val="404040" w:themeColor="text1" w:themeTint="BF"/>
    </w:rPr>
  </w:style>
  <w:style w:type="character" w:customStyle="1" w:styleId="CitationCar">
    <w:name w:val="Citation Car"/>
    <w:basedOn w:val="Policepardfaut"/>
    <w:link w:val="Citation"/>
    <w:uiPriority w:val="29"/>
    <w:rsid w:val="000219AF"/>
    <w:rPr>
      <w:i/>
      <w:iCs/>
      <w:color w:val="404040" w:themeColor="text1" w:themeTint="BF"/>
    </w:rPr>
  </w:style>
  <w:style w:type="paragraph" w:styleId="Paragraphedeliste">
    <w:name w:val="List Paragraph"/>
    <w:basedOn w:val="Normal"/>
    <w:uiPriority w:val="34"/>
    <w:qFormat/>
    <w:rsid w:val="000219AF"/>
    <w:pPr>
      <w:ind w:left="720"/>
      <w:contextualSpacing/>
    </w:pPr>
  </w:style>
  <w:style w:type="character" w:styleId="Accentuationintense">
    <w:name w:val="Intense Emphasis"/>
    <w:basedOn w:val="Policepardfaut"/>
    <w:uiPriority w:val="21"/>
    <w:qFormat/>
    <w:rsid w:val="000219AF"/>
    <w:rPr>
      <w:i/>
      <w:iCs/>
      <w:color w:val="2F5496" w:themeColor="accent1" w:themeShade="BF"/>
    </w:rPr>
  </w:style>
  <w:style w:type="paragraph" w:styleId="Citationintense">
    <w:name w:val="Intense Quote"/>
    <w:basedOn w:val="Normal"/>
    <w:next w:val="Normal"/>
    <w:link w:val="CitationintenseCar"/>
    <w:uiPriority w:val="30"/>
    <w:qFormat/>
    <w:rsid w:val="000219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219AF"/>
    <w:rPr>
      <w:i/>
      <w:iCs/>
      <w:color w:val="2F5496" w:themeColor="accent1" w:themeShade="BF"/>
    </w:rPr>
  </w:style>
  <w:style w:type="character" w:styleId="Rfrenceintense">
    <w:name w:val="Intense Reference"/>
    <w:basedOn w:val="Policepardfaut"/>
    <w:uiPriority w:val="32"/>
    <w:qFormat/>
    <w:rsid w:val="000219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682845">
      <w:bodyDiv w:val="1"/>
      <w:marLeft w:val="0"/>
      <w:marRight w:val="0"/>
      <w:marTop w:val="0"/>
      <w:marBottom w:val="0"/>
      <w:divBdr>
        <w:top w:val="none" w:sz="0" w:space="0" w:color="auto"/>
        <w:left w:val="none" w:sz="0" w:space="0" w:color="auto"/>
        <w:bottom w:val="none" w:sz="0" w:space="0" w:color="auto"/>
        <w:right w:val="none" w:sz="0" w:space="0" w:color="auto"/>
      </w:divBdr>
    </w:div>
    <w:div w:id="1079448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413</Words>
  <Characters>2274</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YVERNAULT-COLLET Clement</dc:creator>
  <cp:keywords/>
  <dc:description/>
  <cp:lastModifiedBy>YVERNAULT-COLLET Clement</cp:lastModifiedBy>
  <cp:revision>1</cp:revision>
  <dcterms:created xsi:type="dcterms:W3CDTF">2025-03-18T18:35:00Z</dcterms:created>
  <dcterms:modified xsi:type="dcterms:W3CDTF">2025-03-18T19:12:00Z</dcterms:modified>
</cp:coreProperties>
</file>