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8180" w14:textId="77777777" w:rsidR="00C8546B" w:rsidRPr="00C8546B" w:rsidRDefault="00C8546B" w:rsidP="00C8546B">
      <w:pPr>
        <w:pStyle w:val="MDPI31text"/>
        <w:ind w:left="2208" w:firstLine="0"/>
        <w:rPr>
          <w:b/>
        </w:rPr>
      </w:pPr>
      <w:r w:rsidRPr="0018090F">
        <w:rPr>
          <w:b/>
        </w:rPr>
        <w:t xml:space="preserve">Figure 1. </w:t>
      </w:r>
      <w:r w:rsidRPr="00C8546B">
        <w:rPr>
          <w:b/>
        </w:rPr>
        <w:t>STROBE flow diagram of cohort selection (admissions as the unit of analysis).</w:t>
      </w:r>
      <w:r w:rsidRPr="00C8546B">
        <w:rPr>
          <w:b/>
        </w:rPr>
        <w:br/>
        <w:t>Numbers refer to admissions. After applying prespecified screening exclusions and the deduplication rule (one admission per patient), the final paired analytic cohort included n= 493 admissions.</w:t>
      </w:r>
    </w:p>
    <w:p w14:paraId="599A5651" w14:textId="77777777" w:rsidR="00721A0D" w:rsidRPr="00C8546B" w:rsidRDefault="00721A0D" w:rsidP="00C8546B">
      <w:pPr>
        <w:pStyle w:val="MDPI31text"/>
        <w:ind w:left="2208" w:firstLine="0"/>
        <w:rPr>
          <w:b/>
        </w:rPr>
      </w:pPr>
    </w:p>
    <w:p w14:paraId="4F32A94C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7BB6C144" w14:textId="77777777" w:rsidR="00C8546B" w:rsidRPr="00C8546B" w:rsidRDefault="00C8546B" w:rsidP="00C8546B">
      <w:pPr>
        <w:pStyle w:val="MDPI31text"/>
        <w:ind w:left="2208" w:firstLine="0"/>
        <w:rPr>
          <w:b/>
        </w:rPr>
      </w:pPr>
      <w:r w:rsidRPr="0018090F">
        <w:rPr>
          <w:b/>
        </w:rPr>
        <w:t xml:space="preserve">Figure 2. </w:t>
      </w:r>
      <w:r>
        <w:rPr>
          <w:b/>
        </w:rPr>
        <w:t>P</w:t>
      </w:r>
      <w:r w:rsidRPr="00C8546B">
        <w:rPr>
          <w:b/>
        </w:rPr>
        <w:t>rimary endpoint (paired 2×2). Paired admission-level comparison (N=493) of any contextual guardrail violation within the first 24h: clinician regimen (rows) vs LLM regimen (columns). Cells show counts and percentage of total admissions (N=493). Effect estimates and p-values are reported in Table 2.</w:t>
      </w:r>
    </w:p>
    <w:p w14:paraId="3B4907A3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46F68CF4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7C1266E8" w14:textId="788C11C0" w:rsidR="00C8546B" w:rsidRPr="00C8546B" w:rsidRDefault="00C8546B" w:rsidP="00C8546B">
      <w:pPr>
        <w:pStyle w:val="MDPI31text"/>
        <w:ind w:left="2208" w:firstLine="0"/>
        <w:rPr>
          <w:b/>
        </w:rPr>
      </w:pPr>
      <w:r>
        <w:rPr>
          <w:b/>
        </w:rPr>
        <w:t>F</w:t>
      </w:r>
      <w:r w:rsidRPr="0018090F">
        <w:rPr>
          <w:b/>
        </w:rPr>
        <w:t xml:space="preserve">igure 3. </w:t>
      </w:r>
      <w:r w:rsidRPr="00C8546B">
        <w:rPr>
          <w:b/>
        </w:rPr>
        <w:t>Key secondary confirmatory endpoint: distribution of paired Δ contextual guardrail penalty (LLM − clinician) across admissions (N = 493).</w:t>
      </w:r>
      <w:r w:rsidRPr="00C8546B">
        <w:rPr>
          <w:b/>
        </w:rPr>
        <w:br/>
        <w:t>(A) All admissions, showing the proportion with lower (Δ &lt; 0), tied (Δ = 0), and higher (Δ &gt; 0) penalty in the LLM arm.</w:t>
      </w:r>
      <w:r w:rsidRPr="00C8546B">
        <w:rPr>
          <w:b/>
        </w:rPr>
        <w:br/>
        <w:t>(B) Non-tied pairs only (n = 95), highlighting the direction of discordance. Summary statistics report median (IQR), mean (SD), the number of ties, and paired tests (Wilcoxon signed-rank and sign test). Negative Δ indicates a lower contextual guardrail penalty in the LLM arm.</w:t>
      </w:r>
    </w:p>
    <w:p w14:paraId="01AD9AA5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000FD027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0608B191" w14:textId="77777777" w:rsidR="00C8546B" w:rsidRPr="00C8546B" w:rsidRDefault="00C8546B" w:rsidP="00C8546B">
      <w:pPr>
        <w:pStyle w:val="MDPI31text"/>
        <w:ind w:left="2208" w:firstLine="0"/>
        <w:rPr>
          <w:b/>
        </w:rPr>
      </w:pPr>
      <w:r w:rsidRPr="0018090F">
        <w:rPr>
          <w:b/>
        </w:rPr>
        <w:t xml:space="preserve">Figure 4. </w:t>
      </w:r>
      <w:r w:rsidRPr="00C8546B">
        <w:rPr>
          <w:b/>
        </w:rPr>
        <w:t>Secondary contextual guardrail components: matched odds ratios (paired analyses; n= 493). Matched ORs are computed from discordant pairs (n10= clinician=1/LLM=0; n01= clinician=0/LLM=1) with 0.5 continuity correction and Wald 95% confidence intervals on the log scale. P-values are from the exact McNemar test. Values &lt;1 indicate fewer violations in the LLM arm. Secondary endpoints should be interpreted with multiplicity caution.</w:t>
      </w:r>
    </w:p>
    <w:p w14:paraId="1BC8EBBF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04E53796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5F7D3283" w14:textId="77777777" w:rsidR="00C8546B" w:rsidRPr="00C8546B" w:rsidRDefault="00C8546B" w:rsidP="00C8546B">
      <w:pPr>
        <w:pStyle w:val="MDPI31text"/>
        <w:ind w:left="2208" w:firstLine="0"/>
        <w:rPr>
          <w:b/>
        </w:rPr>
      </w:pPr>
      <w:r w:rsidRPr="0018090F">
        <w:rPr>
          <w:b/>
        </w:rPr>
        <w:t xml:space="preserve">Figure 5. </w:t>
      </w:r>
      <w:r w:rsidRPr="00C8546B">
        <w:rPr>
          <w:b/>
        </w:rPr>
        <w:t>Secondary endpoint: paired empiric antibiotic cost deltas (Δ cost, EUR; LLM − clinician). The 24h analysis includes all paired admissions (n= 493). The 72h analysis is restricted to a prespecified continued-therapy subset in which empiric therapy initiated by the clinician was continued for ≥72h (n= 323). Boxes indicate the interquartile range with the median; whiskers reflect the full range. Negative Δ indicates lower empiric antibiotic cost in the LLM arm (process-level comparison).</w:t>
      </w:r>
    </w:p>
    <w:p w14:paraId="49B92996" w14:textId="1A3F0784" w:rsidR="00C8546B" w:rsidRPr="00C8546B" w:rsidRDefault="00C8546B" w:rsidP="00C8546B">
      <w:pPr>
        <w:pStyle w:val="MDPI31text"/>
        <w:ind w:left="2208" w:firstLine="0"/>
        <w:rPr>
          <w:b/>
        </w:rPr>
      </w:pPr>
      <w:r w:rsidRPr="00C8546B">
        <w:rPr>
          <w:b/>
        </w:rPr>
        <w:br w:type="page"/>
      </w:r>
    </w:p>
    <w:p w14:paraId="262C6C1E" w14:textId="77777777" w:rsidR="00C8546B" w:rsidRPr="00C8546B" w:rsidRDefault="00C8546B" w:rsidP="00C8546B">
      <w:pPr>
        <w:pStyle w:val="MDPI31text"/>
        <w:ind w:left="2208" w:firstLine="0"/>
        <w:rPr>
          <w:b/>
        </w:rPr>
      </w:pPr>
      <w:r w:rsidRPr="0018090F">
        <w:rPr>
          <w:b/>
        </w:rPr>
        <w:lastRenderedPageBreak/>
        <w:t xml:space="preserve">Figure 6. </w:t>
      </w:r>
      <w:r w:rsidRPr="00C8546B">
        <w:rPr>
          <w:b/>
        </w:rPr>
        <w:t>Microbiology-evaluable subset: paired active coverage against the index organism (N= 158). Each cell shows the count (and percentage) of admissions classified as inactive/active for the clinician regimen (rows) versus the LLM regimen (columns), under the study’s prespecified definition of “active coverage” against the index organism. Discordant pairs (clinician active/LLM inactive vs clinician inactive/LLM active) are shown with the matched OR and exact McNemar p-value. Because evaluability depends on culture availability and interpretable susceptibility, this analysis reflects subset-level process benchmarking rather than cohort-wide effectiveness.</w:t>
      </w:r>
    </w:p>
    <w:p w14:paraId="7F100F6B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3D07FA31" w14:textId="77777777" w:rsidR="00C8546B" w:rsidRPr="00C8546B" w:rsidRDefault="00C8546B" w:rsidP="00C8546B">
      <w:pPr>
        <w:pStyle w:val="MDPI31text"/>
        <w:ind w:left="2208" w:firstLine="0"/>
        <w:rPr>
          <w:b/>
        </w:rPr>
      </w:pPr>
    </w:p>
    <w:p w14:paraId="48FC2EC2" w14:textId="77777777" w:rsidR="00C8546B" w:rsidRPr="00C8546B" w:rsidRDefault="00C8546B" w:rsidP="00C8546B">
      <w:pPr>
        <w:pStyle w:val="MDPI31text"/>
        <w:ind w:left="2208" w:firstLine="0"/>
        <w:rPr>
          <w:b/>
        </w:rPr>
      </w:pPr>
      <w:r w:rsidRPr="0018090F">
        <w:rPr>
          <w:b/>
        </w:rPr>
        <w:t xml:space="preserve">Figure 7. </w:t>
      </w:r>
      <w:r w:rsidRPr="00C8546B">
        <w:rPr>
          <w:b/>
        </w:rPr>
        <w:t>Phased roadmap for stewardship-governed translation of LLM-based empiric antibiotic decision support. Phase 0 corresponds to the present retrospective study, implementing admission-level shadow-mode benchmarking with locally defined guardrails and cost/DDD endpoints, without clinician exposure. Phase 1 illustrates a prospective shadow-mode pilot in which real-time LLM recommendations remain withheld from clinicians, while audit logging, drift monitoring, and prespecified process endpoints are evaluated. Phase 2 depicts a subsequent human-in-the-loop clinical decision support (CDS) trial with stewardship oversight and pre-registered outcome-focused endpoints. Governance requirements, including model/version control, data privacy, audit trail, and stewardship/IRB oversight, apply across all phases. The diagram is conceptual and does not imply that clinical outcome improvement was assessed in the retrospective phase.</w:t>
      </w:r>
    </w:p>
    <w:p w14:paraId="452C2109" w14:textId="77777777" w:rsidR="00C8546B" w:rsidRDefault="00C8546B"/>
    <w:sectPr w:rsidR="00C85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24"/>
    <w:rsid w:val="00350EF3"/>
    <w:rsid w:val="003F6632"/>
    <w:rsid w:val="00721A0D"/>
    <w:rsid w:val="00847C5D"/>
    <w:rsid w:val="00C8546B"/>
    <w:rsid w:val="00EE1E24"/>
    <w:rsid w:val="00EF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16DB"/>
  <w15:chartTrackingRefBased/>
  <w15:docId w15:val="{37EFEE46-3966-41CF-A4FF-7081F293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2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24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24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24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24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24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24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24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EE1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24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24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EE1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24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EE1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24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EE1E24"/>
    <w:rPr>
      <w:b/>
      <w:bCs/>
      <w:smallCaps/>
      <w:color w:val="2F5496" w:themeColor="accent1" w:themeShade="BF"/>
      <w:spacing w:val="5"/>
    </w:rPr>
  </w:style>
  <w:style w:type="paragraph" w:customStyle="1" w:styleId="MDPI31text">
    <w:name w:val="MDPI_3.1_text"/>
    <w:qFormat/>
    <w:rsid w:val="00C8546B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lang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544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Jacobus Antonie</dc:creator>
  <cp:keywords/>
  <dc:description/>
  <cp:lastModifiedBy>Jacobus Antonie</cp:lastModifiedBy>
  <cp:revision>2</cp:revision>
  <dcterms:created xsi:type="dcterms:W3CDTF">2026-02-22T07:11:00Z</dcterms:created>
  <dcterms:modified xsi:type="dcterms:W3CDTF">2026-02-22T07:13:00Z</dcterms:modified>
</cp:coreProperties>
</file>