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B9706" w14:textId="77777777" w:rsidR="003A7E4C" w:rsidRPr="0018090F" w:rsidRDefault="003A7E4C" w:rsidP="003A7E4C">
      <w:pPr>
        <w:pStyle w:val="MDPI22heading2"/>
        <w:spacing w:before="240"/>
        <w:ind w:left="0"/>
        <w:rPr>
          <w:i w:val="0"/>
          <w:iCs/>
          <w:noProof w:val="0"/>
          <w:sz w:val="18"/>
          <w:szCs w:val="18"/>
        </w:rPr>
      </w:pPr>
      <w:r w:rsidRPr="0018090F">
        <w:rPr>
          <w:b/>
          <w:i w:val="0"/>
          <w:iCs/>
          <w:noProof w:val="0"/>
        </w:rPr>
        <w:t>Table 1. Baseline characteristics of the paired admission cohort (N=493).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129"/>
        <w:gridCol w:w="2231"/>
      </w:tblGrid>
      <w:tr w:rsidR="003A7E4C" w:rsidRPr="0018090F" w14:paraId="624FF4E7" w14:textId="77777777" w:rsidTr="005570AC">
        <w:tc>
          <w:tcPr>
            <w:tcW w:w="380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3EF56D5" w14:textId="77777777" w:rsidR="003A7E4C" w:rsidRPr="0018090F" w:rsidRDefault="003A7E4C" w:rsidP="005570AC">
            <w:pPr>
              <w:tabs>
                <w:tab w:val="left" w:pos="2747"/>
              </w:tabs>
              <w:rPr>
                <w:sz w:val="18"/>
                <w:szCs w:val="18"/>
              </w:rPr>
            </w:pPr>
            <w:r w:rsidRPr="0018090F">
              <w:rPr>
                <w:b/>
                <w:sz w:val="18"/>
                <w:szCs w:val="18"/>
              </w:rPr>
              <w:t>Characteristic</w:t>
            </w:r>
            <w:r w:rsidRPr="0018090F">
              <w:rPr>
                <w:b/>
                <w:sz w:val="18"/>
                <w:szCs w:val="18"/>
              </w:rPr>
              <w:tab/>
            </w:r>
          </w:p>
        </w:tc>
        <w:tc>
          <w:tcPr>
            <w:tcW w:w="119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FE2FEA6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b/>
                <w:sz w:val="18"/>
                <w:szCs w:val="18"/>
              </w:rPr>
              <w:t>Total (N=493)</w:t>
            </w:r>
          </w:p>
        </w:tc>
      </w:tr>
      <w:tr w:rsidR="003A7E4C" w:rsidRPr="0018090F" w14:paraId="2DA225E9" w14:textId="77777777" w:rsidTr="005570AC">
        <w:tc>
          <w:tcPr>
            <w:tcW w:w="380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0733083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b/>
                <w:sz w:val="18"/>
                <w:szCs w:val="18"/>
              </w:rPr>
              <w:t>Demographics</w:t>
            </w:r>
          </w:p>
        </w:tc>
        <w:tc>
          <w:tcPr>
            <w:tcW w:w="119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E18EF53" w14:textId="77777777" w:rsidR="003A7E4C" w:rsidRPr="0018090F" w:rsidRDefault="003A7E4C" w:rsidP="005570AC">
            <w:pPr>
              <w:rPr>
                <w:sz w:val="18"/>
                <w:szCs w:val="18"/>
              </w:rPr>
            </w:pPr>
          </w:p>
        </w:tc>
      </w:tr>
      <w:tr w:rsidR="003A7E4C" w:rsidRPr="0018090F" w14:paraId="36D184B1" w14:textId="77777777" w:rsidTr="005570AC">
        <w:tc>
          <w:tcPr>
            <w:tcW w:w="3808" w:type="pct"/>
            <w:tcBorders>
              <w:top w:val="single" w:sz="4" w:space="0" w:color="auto"/>
            </w:tcBorders>
            <w:shd w:val="clear" w:color="auto" w:fill="FFFFFF" w:themeFill="background1"/>
          </w:tcPr>
          <w:p w14:paraId="40951E8E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Age, years, median (IQR)</w:t>
            </w:r>
          </w:p>
        </w:tc>
        <w:tc>
          <w:tcPr>
            <w:tcW w:w="1192" w:type="pct"/>
            <w:tcBorders>
              <w:top w:val="single" w:sz="4" w:space="0" w:color="auto"/>
            </w:tcBorders>
            <w:shd w:val="clear" w:color="auto" w:fill="FFFFFF" w:themeFill="background1"/>
          </w:tcPr>
          <w:p w14:paraId="33C20F4B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72 (64–82)</w:t>
            </w:r>
          </w:p>
        </w:tc>
      </w:tr>
      <w:tr w:rsidR="003A7E4C" w:rsidRPr="0018090F" w14:paraId="06D18F6F" w14:textId="77777777" w:rsidTr="005570AC">
        <w:tc>
          <w:tcPr>
            <w:tcW w:w="3808" w:type="pct"/>
            <w:shd w:val="clear" w:color="auto" w:fill="FFFFFF" w:themeFill="background1"/>
          </w:tcPr>
          <w:p w14:paraId="1EDC48FA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Female sex,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03E86E06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250 (50.7%)</w:t>
            </w:r>
          </w:p>
        </w:tc>
      </w:tr>
      <w:tr w:rsidR="003A7E4C" w:rsidRPr="0018090F" w14:paraId="6E135945" w14:textId="77777777" w:rsidTr="005570AC">
        <w:tc>
          <w:tcPr>
            <w:tcW w:w="3808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30785218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Length of stay, days, median (IQR)</w:t>
            </w:r>
          </w:p>
        </w:tc>
        <w:tc>
          <w:tcPr>
            <w:tcW w:w="1192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12F2221C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9 (5–15)</w:t>
            </w:r>
          </w:p>
        </w:tc>
      </w:tr>
      <w:tr w:rsidR="003A7E4C" w:rsidRPr="0018090F" w14:paraId="2C0C4F44" w14:textId="77777777" w:rsidTr="005570AC">
        <w:tc>
          <w:tcPr>
            <w:tcW w:w="380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754A8BE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b/>
                <w:sz w:val="18"/>
                <w:szCs w:val="18"/>
              </w:rPr>
              <w:t>Study period</w:t>
            </w:r>
          </w:p>
        </w:tc>
        <w:tc>
          <w:tcPr>
            <w:tcW w:w="119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5DA8AD2" w14:textId="77777777" w:rsidR="003A7E4C" w:rsidRPr="0018090F" w:rsidRDefault="003A7E4C" w:rsidP="005570AC">
            <w:pPr>
              <w:rPr>
                <w:sz w:val="18"/>
                <w:szCs w:val="18"/>
              </w:rPr>
            </w:pPr>
          </w:p>
        </w:tc>
      </w:tr>
      <w:tr w:rsidR="003A7E4C" w:rsidRPr="0018090F" w14:paraId="59AE248F" w14:textId="77777777" w:rsidTr="005570AC">
        <w:tc>
          <w:tcPr>
            <w:tcW w:w="3808" w:type="pct"/>
            <w:tcBorders>
              <w:top w:val="single" w:sz="4" w:space="0" w:color="auto"/>
            </w:tcBorders>
            <w:shd w:val="clear" w:color="auto" w:fill="FFFFFF" w:themeFill="background1"/>
          </w:tcPr>
          <w:p w14:paraId="6F49A749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Cohort year 2020, n (%)</w:t>
            </w:r>
          </w:p>
        </w:tc>
        <w:tc>
          <w:tcPr>
            <w:tcW w:w="1192" w:type="pct"/>
            <w:tcBorders>
              <w:top w:val="single" w:sz="4" w:space="0" w:color="auto"/>
            </w:tcBorders>
            <w:shd w:val="clear" w:color="auto" w:fill="FFFFFF" w:themeFill="background1"/>
          </w:tcPr>
          <w:p w14:paraId="77A39593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98 (19.9%)</w:t>
            </w:r>
          </w:p>
        </w:tc>
      </w:tr>
      <w:tr w:rsidR="003A7E4C" w:rsidRPr="0018090F" w14:paraId="1E3B9D92" w14:textId="77777777" w:rsidTr="005570AC">
        <w:tc>
          <w:tcPr>
            <w:tcW w:w="3808" w:type="pct"/>
            <w:shd w:val="clear" w:color="auto" w:fill="FFFFFF" w:themeFill="background1"/>
          </w:tcPr>
          <w:p w14:paraId="08BD5B0B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Cohort year 2021,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635A6759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100 (20.3%)</w:t>
            </w:r>
          </w:p>
        </w:tc>
      </w:tr>
      <w:tr w:rsidR="003A7E4C" w:rsidRPr="0018090F" w14:paraId="5D5FAA06" w14:textId="77777777" w:rsidTr="005570AC">
        <w:tc>
          <w:tcPr>
            <w:tcW w:w="3808" w:type="pct"/>
            <w:shd w:val="clear" w:color="auto" w:fill="FFFFFF" w:themeFill="background1"/>
          </w:tcPr>
          <w:p w14:paraId="7018B484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Cohort year 2022,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7ED21AEB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100 (20.3%)</w:t>
            </w:r>
          </w:p>
        </w:tc>
      </w:tr>
      <w:tr w:rsidR="003A7E4C" w:rsidRPr="0018090F" w14:paraId="0FBFAE95" w14:textId="77777777" w:rsidTr="005570AC">
        <w:tc>
          <w:tcPr>
            <w:tcW w:w="3808" w:type="pct"/>
            <w:shd w:val="clear" w:color="auto" w:fill="FFFFFF" w:themeFill="background1"/>
          </w:tcPr>
          <w:p w14:paraId="3A0A7D60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Cohort year 2023,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3F789382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98 (19.9%)</w:t>
            </w:r>
          </w:p>
        </w:tc>
      </w:tr>
      <w:tr w:rsidR="003A7E4C" w:rsidRPr="0018090F" w14:paraId="6C33CB6F" w14:textId="77777777" w:rsidTr="005570AC">
        <w:tc>
          <w:tcPr>
            <w:tcW w:w="3808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47994120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Cohort year 2024, n (%)</w:t>
            </w:r>
          </w:p>
        </w:tc>
        <w:tc>
          <w:tcPr>
            <w:tcW w:w="1192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5D644EE7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97 (19.7%)</w:t>
            </w:r>
          </w:p>
        </w:tc>
      </w:tr>
      <w:tr w:rsidR="003A7E4C" w:rsidRPr="0018090F" w14:paraId="349AF9FA" w14:textId="77777777" w:rsidTr="005570AC">
        <w:tc>
          <w:tcPr>
            <w:tcW w:w="380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A104129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b/>
                <w:sz w:val="18"/>
                <w:szCs w:val="18"/>
              </w:rPr>
              <w:t>Acquisition setting</w:t>
            </w:r>
          </w:p>
        </w:tc>
        <w:tc>
          <w:tcPr>
            <w:tcW w:w="119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CA081A8" w14:textId="77777777" w:rsidR="003A7E4C" w:rsidRPr="0018090F" w:rsidRDefault="003A7E4C" w:rsidP="005570AC">
            <w:pPr>
              <w:rPr>
                <w:sz w:val="18"/>
                <w:szCs w:val="18"/>
              </w:rPr>
            </w:pPr>
          </w:p>
        </w:tc>
      </w:tr>
      <w:tr w:rsidR="003A7E4C" w:rsidRPr="0018090F" w14:paraId="4D84268D" w14:textId="77777777" w:rsidTr="005570AC">
        <w:tc>
          <w:tcPr>
            <w:tcW w:w="3808" w:type="pct"/>
            <w:tcBorders>
              <w:top w:val="single" w:sz="4" w:space="0" w:color="auto"/>
            </w:tcBorders>
            <w:shd w:val="clear" w:color="auto" w:fill="FFFFFF" w:themeFill="background1"/>
          </w:tcPr>
          <w:p w14:paraId="3874ADAF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community-onset, n (%)</w:t>
            </w:r>
          </w:p>
        </w:tc>
        <w:tc>
          <w:tcPr>
            <w:tcW w:w="1192" w:type="pct"/>
            <w:tcBorders>
              <w:top w:val="single" w:sz="4" w:space="0" w:color="auto"/>
            </w:tcBorders>
            <w:shd w:val="clear" w:color="auto" w:fill="FFFFFF" w:themeFill="background1"/>
          </w:tcPr>
          <w:p w14:paraId="6F37DF73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459 (93.1%)</w:t>
            </w:r>
          </w:p>
        </w:tc>
      </w:tr>
      <w:tr w:rsidR="003A7E4C" w:rsidRPr="0018090F" w14:paraId="12EFD64B" w14:textId="77777777" w:rsidTr="005570AC">
        <w:tc>
          <w:tcPr>
            <w:tcW w:w="3808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61C7DF17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healthcare-associated, n (%)</w:t>
            </w:r>
          </w:p>
        </w:tc>
        <w:tc>
          <w:tcPr>
            <w:tcW w:w="1192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4BC65676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34 (6.9%)</w:t>
            </w:r>
          </w:p>
        </w:tc>
      </w:tr>
      <w:tr w:rsidR="003A7E4C" w:rsidRPr="0018090F" w14:paraId="7949AF4F" w14:textId="77777777" w:rsidTr="005570AC">
        <w:tc>
          <w:tcPr>
            <w:tcW w:w="380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5FCC487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b/>
                <w:sz w:val="18"/>
                <w:szCs w:val="18"/>
              </w:rPr>
              <w:t>Index syndrome (top categories)</w:t>
            </w:r>
          </w:p>
        </w:tc>
        <w:tc>
          <w:tcPr>
            <w:tcW w:w="119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D0C3B3F" w14:textId="77777777" w:rsidR="003A7E4C" w:rsidRPr="0018090F" w:rsidRDefault="003A7E4C" w:rsidP="005570AC">
            <w:pPr>
              <w:rPr>
                <w:sz w:val="18"/>
                <w:szCs w:val="18"/>
              </w:rPr>
            </w:pPr>
          </w:p>
        </w:tc>
      </w:tr>
      <w:tr w:rsidR="003A7E4C" w:rsidRPr="0018090F" w14:paraId="4F987FEB" w14:textId="77777777" w:rsidTr="005570AC">
        <w:tc>
          <w:tcPr>
            <w:tcW w:w="3808" w:type="pct"/>
            <w:tcBorders>
              <w:top w:val="single" w:sz="4" w:space="0" w:color="auto"/>
            </w:tcBorders>
            <w:shd w:val="clear" w:color="auto" w:fill="FFFFFF" w:themeFill="background1"/>
          </w:tcPr>
          <w:p w14:paraId="1AD75839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community-acquired pneumonia, n (%)</w:t>
            </w:r>
          </w:p>
        </w:tc>
        <w:tc>
          <w:tcPr>
            <w:tcW w:w="1192" w:type="pct"/>
            <w:tcBorders>
              <w:top w:val="single" w:sz="4" w:space="0" w:color="auto"/>
            </w:tcBorders>
            <w:shd w:val="clear" w:color="auto" w:fill="FFFFFF" w:themeFill="background1"/>
          </w:tcPr>
          <w:p w14:paraId="5260332F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311 (63.1%)</w:t>
            </w:r>
          </w:p>
        </w:tc>
      </w:tr>
      <w:tr w:rsidR="003A7E4C" w:rsidRPr="0018090F" w14:paraId="52EBCD4F" w14:textId="77777777" w:rsidTr="005570AC">
        <w:tc>
          <w:tcPr>
            <w:tcW w:w="3808" w:type="pct"/>
            <w:shd w:val="clear" w:color="auto" w:fill="FFFFFF" w:themeFill="background1"/>
          </w:tcPr>
          <w:p w14:paraId="28703F27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urinary tract infection -</w:t>
            </w:r>
            <w:r w:rsidRPr="0018090F">
              <w:t xml:space="preserve"> </w:t>
            </w:r>
            <w:r w:rsidRPr="0018090F">
              <w:rPr>
                <w:sz w:val="18"/>
                <w:szCs w:val="18"/>
              </w:rPr>
              <w:t>unspecified site,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75337A68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56 (11.4%)</w:t>
            </w:r>
          </w:p>
        </w:tc>
      </w:tr>
      <w:tr w:rsidR="003A7E4C" w:rsidRPr="0018090F" w14:paraId="1EE0853B" w14:textId="77777777" w:rsidTr="005570AC">
        <w:tc>
          <w:tcPr>
            <w:tcW w:w="3808" w:type="pct"/>
            <w:shd w:val="clear" w:color="auto" w:fill="FFFFFF" w:themeFill="background1"/>
          </w:tcPr>
          <w:p w14:paraId="3B302E56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bloodstream infection / sepsis,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426E5C87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50 (10.1%)</w:t>
            </w:r>
          </w:p>
        </w:tc>
      </w:tr>
      <w:tr w:rsidR="003A7E4C" w:rsidRPr="0018090F" w14:paraId="66D07BC6" w14:textId="77777777" w:rsidTr="005570AC">
        <w:tc>
          <w:tcPr>
            <w:tcW w:w="3808" w:type="pct"/>
            <w:shd w:val="clear" w:color="auto" w:fill="FFFFFF" w:themeFill="background1"/>
          </w:tcPr>
          <w:p w14:paraId="2663E846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COPD infectious exacerbation,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61D295FA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32 (6.5%)</w:t>
            </w:r>
          </w:p>
        </w:tc>
      </w:tr>
      <w:tr w:rsidR="003A7E4C" w:rsidRPr="0018090F" w14:paraId="0894C747" w14:textId="77777777" w:rsidTr="005570AC">
        <w:tc>
          <w:tcPr>
            <w:tcW w:w="3808" w:type="pct"/>
            <w:shd w:val="clear" w:color="auto" w:fill="FFFFFF" w:themeFill="background1"/>
          </w:tcPr>
          <w:p w14:paraId="6729409B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urinary tract infection – pyelonephritis,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34A066CE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29 (5.9%)</w:t>
            </w:r>
          </w:p>
        </w:tc>
      </w:tr>
      <w:tr w:rsidR="003A7E4C" w:rsidRPr="0018090F" w14:paraId="3345C69A" w14:textId="77777777" w:rsidTr="005570AC">
        <w:tc>
          <w:tcPr>
            <w:tcW w:w="3808" w:type="pct"/>
            <w:shd w:val="clear" w:color="auto" w:fill="FFFFFF" w:themeFill="background1"/>
          </w:tcPr>
          <w:p w14:paraId="4EADAB7C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skin and soft-tissue infection,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779892D4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7 (1.4%)</w:t>
            </w:r>
          </w:p>
        </w:tc>
      </w:tr>
      <w:tr w:rsidR="003A7E4C" w:rsidRPr="0018090F" w14:paraId="504E0060" w14:textId="77777777" w:rsidTr="005570AC">
        <w:tc>
          <w:tcPr>
            <w:tcW w:w="3808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16E0D7E4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Other syndromes, n (%)</w:t>
            </w:r>
          </w:p>
        </w:tc>
        <w:tc>
          <w:tcPr>
            <w:tcW w:w="1192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4AC7066A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8 (1.6%)</w:t>
            </w:r>
          </w:p>
        </w:tc>
      </w:tr>
      <w:tr w:rsidR="003A7E4C" w:rsidRPr="0018090F" w14:paraId="63C772F3" w14:textId="77777777" w:rsidTr="005570AC">
        <w:tc>
          <w:tcPr>
            <w:tcW w:w="380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B7143FB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b/>
                <w:sz w:val="18"/>
                <w:szCs w:val="18"/>
              </w:rPr>
              <w:t>Severity / support within 24</w:t>
            </w:r>
            <w:r>
              <w:rPr>
                <w:b/>
                <w:sz w:val="18"/>
                <w:szCs w:val="18"/>
              </w:rPr>
              <w:t>h</w:t>
            </w:r>
          </w:p>
        </w:tc>
        <w:tc>
          <w:tcPr>
            <w:tcW w:w="119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349DD9C" w14:textId="77777777" w:rsidR="003A7E4C" w:rsidRPr="0018090F" w:rsidRDefault="003A7E4C" w:rsidP="005570AC">
            <w:pPr>
              <w:rPr>
                <w:sz w:val="18"/>
                <w:szCs w:val="18"/>
              </w:rPr>
            </w:pPr>
          </w:p>
        </w:tc>
      </w:tr>
      <w:tr w:rsidR="003A7E4C" w:rsidRPr="0018090F" w14:paraId="57E8E859" w14:textId="77777777" w:rsidTr="005570AC">
        <w:tc>
          <w:tcPr>
            <w:tcW w:w="3808" w:type="pct"/>
            <w:tcBorders>
              <w:top w:val="single" w:sz="4" w:space="0" w:color="auto"/>
            </w:tcBorders>
            <w:shd w:val="clear" w:color="auto" w:fill="FFFFFF" w:themeFill="background1"/>
          </w:tcPr>
          <w:p w14:paraId="7591C6D7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Sepsis documented, n (%)</w:t>
            </w:r>
          </w:p>
        </w:tc>
        <w:tc>
          <w:tcPr>
            <w:tcW w:w="1192" w:type="pct"/>
            <w:tcBorders>
              <w:top w:val="single" w:sz="4" w:space="0" w:color="auto"/>
            </w:tcBorders>
            <w:shd w:val="clear" w:color="auto" w:fill="FFFFFF" w:themeFill="background1"/>
          </w:tcPr>
          <w:p w14:paraId="74861BE4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183 (37.1%)</w:t>
            </w:r>
          </w:p>
        </w:tc>
      </w:tr>
      <w:tr w:rsidR="003A7E4C" w:rsidRPr="0018090F" w14:paraId="6994D7CB" w14:textId="77777777" w:rsidTr="005570AC">
        <w:tc>
          <w:tcPr>
            <w:tcW w:w="3808" w:type="pct"/>
            <w:shd w:val="clear" w:color="auto" w:fill="FFFFFF" w:themeFill="background1"/>
          </w:tcPr>
          <w:p w14:paraId="1D26752D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Septic shock documented,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676A06D4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129 (26.2%)</w:t>
            </w:r>
          </w:p>
        </w:tc>
      </w:tr>
      <w:tr w:rsidR="003A7E4C" w:rsidRPr="0018090F" w14:paraId="2427117C" w14:textId="77777777" w:rsidTr="005570AC">
        <w:tc>
          <w:tcPr>
            <w:tcW w:w="3808" w:type="pct"/>
            <w:shd w:val="clear" w:color="auto" w:fill="FFFFFF" w:themeFill="background1"/>
          </w:tcPr>
          <w:p w14:paraId="0E276C5A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Respiratory failure documented,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197477DD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374 (75.9%)</w:t>
            </w:r>
          </w:p>
        </w:tc>
      </w:tr>
      <w:tr w:rsidR="003A7E4C" w:rsidRPr="0018090F" w14:paraId="05699030" w14:textId="77777777" w:rsidTr="005570AC">
        <w:tc>
          <w:tcPr>
            <w:tcW w:w="3808" w:type="pct"/>
            <w:shd w:val="clear" w:color="auto" w:fill="FFFFFF" w:themeFill="background1"/>
          </w:tcPr>
          <w:p w14:paraId="09D67E5E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Mechanical ventilation,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04BA9818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147 (29.8%)</w:t>
            </w:r>
          </w:p>
        </w:tc>
      </w:tr>
      <w:tr w:rsidR="003A7E4C" w:rsidRPr="0018090F" w14:paraId="3D6C0105" w14:textId="77777777" w:rsidTr="005570AC">
        <w:tc>
          <w:tcPr>
            <w:tcW w:w="3808" w:type="pct"/>
            <w:shd w:val="clear" w:color="auto" w:fill="FFFFFF" w:themeFill="background1"/>
          </w:tcPr>
          <w:p w14:paraId="3DCD2F25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Vasopressors,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039670A4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127 (25.8%)</w:t>
            </w:r>
          </w:p>
        </w:tc>
      </w:tr>
      <w:tr w:rsidR="003A7E4C" w:rsidRPr="0018090F" w14:paraId="617BA9FD" w14:textId="77777777" w:rsidTr="005570AC">
        <w:tc>
          <w:tcPr>
            <w:tcW w:w="3808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736FF48E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ICU transfer, n (%)</w:t>
            </w:r>
          </w:p>
        </w:tc>
        <w:tc>
          <w:tcPr>
            <w:tcW w:w="1192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2905E053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141 (28.6%)</w:t>
            </w:r>
          </w:p>
        </w:tc>
      </w:tr>
      <w:tr w:rsidR="003A7E4C" w:rsidRPr="0018090F" w14:paraId="5EBFFD8F" w14:textId="77777777" w:rsidTr="005570AC">
        <w:tc>
          <w:tcPr>
            <w:tcW w:w="380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03546F2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b/>
                <w:sz w:val="18"/>
                <w:szCs w:val="18"/>
              </w:rPr>
              <w:t>Prior exposure / MDR-risk proxies</w:t>
            </w:r>
          </w:p>
        </w:tc>
        <w:tc>
          <w:tcPr>
            <w:tcW w:w="119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6EF8B4D" w14:textId="77777777" w:rsidR="003A7E4C" w:rsidRPr="0018090F" w:rsidRDefault="003A7E4C" w:rsidP="005570AC">
            <w:pPr>
              <w:rPr>
                <w:sz w:val="18"/>
                <w:szCs w:val="18"/>
              </w:rPr>
            </w:pPr>
          </w:p>
        </w:tc>
      </w:tr>
      <w:tr w:rsidR="003A7E4C" w:rsidRPr="0018090F" w14:paraId="63FB020C" w14:textId="77777777" w:rsidTr="005570AC">
        <w:tc>
          <w:tcPr>
            <w:tcW w:w="3808" w:type="pct"/>
            <w:tcBorders>
              <w:top w:val="single" w:sz="4" w:space="0" w:color="auto"/>
            </w:tcBorders>
            <w:shd w:val="clear" w:color="auto" w:fill="FFFFFF" w:themeFill="background1"/>
          </w:tcPr>
          <w:p w14:paraId="066F4912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Antibiotics in prior 90 days, n (%)</w:t>
            </w:r>
          </w:p>
        </w:tc>
        <w:tc>
          <w:tcPr>
            <w:tcW w:w="1192" w:type="pct"/>
            <w:tcBorders>
              <w:top w:val="single" w:sz="4" w:space="0" w:color="auto"/>
            </w:tcBorders>
            <w:shd w:val="clear" w:color="auto" w:fill="FFFFFF" w:themeFill="background1"/>
          </w:tcPr>
          <w:p w14:paraId="7652DD26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75 (15.2%)</w:t>
            </w:r>
          </w:p>
        </w:tc>
      </w:tr>
      <w:tr w:rsidR="003A7E4C" w:rsidRPr="0018090F" w14:paraId="7D1F8F96" w14:textId="77777777" w:rsidTr="005570AC">
        <w:tc>
          <w:tcPr>
            <w:tcW w:w="3808" w:type="pct"/>
            <w:shd w:val="clear" w:color="auto" w:fill="FFFFFF" w:themeFill="background1"/>
          </w:tcPr>
          <w:p w14:paraId="2F8A8151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Hospitalization in prior 90 days,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6F8FDD09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70 (14.2%)</w:t>
            </w:r>
          </w:p>
        </w:tc>
      </w:tr>
      <w:tr w:rsidR="003A7E4C" w:rsidRPr="0018090F" w14:paraId="439F46A1" w14:textId="77777777" w:rsidTr="005570AC">
        <w:tc>
          <w:tcPr>
            <w:tcW w:w="3808" w:type="pct"/>
            <w:shd w:val="clear" w:color="auto" w:fill="FFFFFF" w:themeFill="background1"/>
          </w:tcPr>
          <w:p w14:paraId="3ED46E4B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Long-term care facility resident,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76981660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32 (6.5%)</w:t>
            </w:r>
          </w:p>
        </w:tc>
      </w:tr>
      <w:tr w:rsidR="003A7E4C" w:rsidRPr="0018090F" w14:paraId="6FEFFD31" w14:textId="77777777" w:rsidTr="005570AC">
        <w:tc>
          <w:tcPr>
            <w:tcW w:w="3808" w:type="pct"/>
            <w:shd w:val="clear" w:color="auto" w:fill="FFFFFF" w:themeFill="background1"/>
          </w:tcPr>
          <w:p w14:paraId="50655BBD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Prior MRSA colonization/infection,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5B7D45EA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6 (1.2%)</w:t>
            </w:r>
          </w:p>
        </w:tc>
      </w:tr>
      <w:tr w:rsidR="003A7E4C" w:rsidRPr="0018090F" w14:paraId="7DD7527C" w14:textId="77777777" w:rsidTr="005570AC">
        <w:tc>
          <w:tcPr>
            <w:tcW w:w="3808" w:type="pct"/>
            <w:shd w:val="clear" w:color="auto" w:fill="FFFFFF" w:themeFill="background1"/>
          </w:tcPr>
          <w:p w14:paraId="64D1432D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Prior ESBL/CRE/VRE history,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4B0AF149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22 (4.5%)</w:t>
            </w:r>
          </w:p>
        </w:tc>
      </w:tr>
      <w:tr w:rsidR="003A7E4C" w:rsidRPr="0018090F" w14:paraId="02185318" w14:textId="77777777" w:rsidTr="005570AC">
        <w:tc>
          <w:tcPr>
            <w:tcW w:w="3808" w:type="pct"/>
            <w:shd w:val="clear" w:color="auto" w:fill="FFFFFF" w:themeFill="background1"/>
          </w:tcPr>
          <w:p w14:paraId="48845E80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Home antibiotics before admission: Yes,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192A2D4B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65 (13.2%)</w:t>
            </w:r>
          </w:p>
        </w:tc>
      </w:tr>
      <w:tr w:rsidR="003A7E4C" w:rsidRPr="0018090F" w14:paraId="65FD74A3" w14:textId="77777777" w:rsidTr="005570AC">
        <w:tc>
          <w:tcPr>
            <w:tcW w:w="3808" w:type="pct"/>
            <w:shd w:val="clear" w:color="auto" w:fill="FFFFFF" w:themeFill="background1"/>
          </w:tcPr>
          <w:p w14:paraId="7A385FB6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Home antibiotics before admission: No,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5FBCB876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428 (86.8%)</w:t>
            </w:r>
          </w:p>
        </w:tc>
      </w:tr>
      <w:tr w:rsidR="003A7E4C" w:rsidRPr="0018090F" w14:paraId="6627DD12" w14:textId="77777777" w:rsidTr="005570AC">
        <w:tc>
          <w:tcPr>
            <w:tcW w:w="380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7706F06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b/>
                <w:sz w:val="18"/>
                <w:szCs w:val="18"/>
              </w:rPr>
              <w:t>Comorbidities</w:t>
            </w:r>
          </w:p>
        </w:tc>
        <w:tc>
          <w:tcPr>
            <w:tcW w:w="119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F6022E7" w14:textId="77777777" w:rsidR="003A7E4C" w:rsidRPr="0018090F" w:rsidRDefault="003A7E4C" w:rsidP="005570AC">
            <w:pPr>
              <w:rPr>
                <w:sz w:val="18"/>
                <w:szCs w:val="18"/>
              </w:rPr>
            </w:pPr>
          </w:p>
        </w:tc>
      </w:tr>
      <w:tr w:rsidR="003A7E4C" w:rsidRPr="0018090F" w14:paraId="5DBD3301" w14:textId="77777777" w:rsidTr="005570AC">
        <w:tc>
          <w:tcPr>
            <w:tcW w:w="3808" w:type="pct"/>
            <w:tcBorders>
              <w:top w:val="single" w:sz="4" w:space="0" w:color="auto"/>
            </w:tcBorders>
            <w:shd w:val="clear" w:color="auto" w:fill="FFFFFF" w:themeFill="background1"/>
          </w:tcPr>
          <w:p w14:paraId="2258DD9F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Hypertension, n (%)</w:t>
            </w:r>
          </w:p>
        </w:tc>
        <w:tc>
          <w:tcPr>
            <w:tcW w:w="1192" w:type="pct"/>
            <w:tcBorders>
              <w:top w:val="single" w:sz="4" w:space="0" w:color="auto"/>
            </w:tcBorders>
            <w:shd w:val="clear" w:color="auto" w:fill="FFFFFF" w:themeFill="background1"/>
          </w:tcPr>
          <w:p w14:paraId="463AEDAF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374 (75.9%)</w:t>
            </w:r>
          </w:p>
        </w:tc>
      </w:tr>
      <w:tr w:rsidR="003A7E4C" w:rsidRPr="0018090F" w14:paraId="2B2B7B84" w14:textId="77777777" w:rsidTr="005570AC">
        <w:tc>
          <w:tcPr>
            <w:tcW w:w="3808" w:type="pct"/>
            <w:shd w:val="clear" w:color="auto" w:fill="FFFFFF" w:themeFill="background1"/>
          </w:tcPr>
          <w:p w14:paraId="3E5AA4CD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Diabetes mellitus,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3671147B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160 (32.5%)</w:t>
            </w:r>
          </w:p>
        </w:tc>
      </w:tr>
      <w:tr w:rsidR="003A7E4C" w:rsidRPr="0018090F" w14:paraId="61968C30" w14:textId="77777777" w:rsidTr="005570AC">
        <w:tc>
          <w:tcPr>
            <w:tcW w:w="3808" w:type="pct"/>
            <w:shd w:val="clear" w:color="auto" w:fill="FFFFFF" w:themeFill="background1"/>
          </w:tcPr>
          <w:p w14:paraId="3E2E3FB5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COPD,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0F4EEAE8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94 (19.1%)</w:t>
            </w:r>
          </w:p>
        </w:tc>
      </w:tr>
      <w:tr w:rsidR="003A7E4C" w:rsidRPr="0018090F" w14:paraId="6B783E44" w14:textId="77777777" w:rsidTr="005570AC">
        <w:tc>
          <w:tcPr>
            <w:tcW w:w="3808" w:type="pct"/>
            <w:shd w:val="clear" w:color="auto" w:fill="FFFFFF" w:themeFill="background1"/>
          </w:tcPr>
          <w:p w14:paraId="678CF955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Chronic kidney disease,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2646214D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137 (27.8%)</w:t>
            </w:r>
          </w:p>
        </w:tc>
      </w:tr>
      <w:tr w:rsidR="003A7E4C" w:rsidRPr="0018090F" w14:paraId="16301223" w14:textId="77777777" w:rsidTr="005570AC">
        <w:tc>
          <w:tcPr>
            <w:tcW w:w="3808" w:type="pct"/>
            <w:shd w:val="clear" w:color="auto" w:fill="FFFFFF" w:themeFill="background1"/>
          </w:tcPr>
          <w:p w14:paraId="7EF9B8DA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Congestive heart failure,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4D3570AA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241 (48.9%)</w:t>
            </w:r>
          </w:p>
        </w:tc>
      </w:tr>
      <w:tr w:rsidR="003A7E4C" w:rsidRPr="0018090F" w14:paraId="6ADC9CEC" w14:textId="77777777" w:rsidTr="005570AC">
        <w:tc>
          <w:tcPr>
            <w:tcW w:w="3808" w:type="pct"/>
            <w:shd w:val="clear" w:color="auto" w:fill="FFFFFF" w:themeFill="background1"/>
          </w:tcPr>
          <w:p w14:paraId="4D347D2A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lastRenderedPageBreak/>
              <w:t>Atrial fibrillation,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71B293CA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180 (36.5%)</w:t>
            </w:r>
          </w:p>
        </w:tc>
      </w:tr>
      <w:tr w:rsidR="003A7E4C" w:rsidRPr="0018090F" w14:paraId="463603CE" w14:textId="77777777" w:rsidTr="005570AC">
        <w:tc>
          <w:tcPr>
            <w:tcW w:w="3808" w:type="pct"/>
            <w:shd w:val="clear" w:color="auto" w:fill="FFFFFF" w:themeFill="background1"/>
          </w:tcPr>
          <w:p w14:paraId="2C7D0358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Prior stroke,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52F61950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98 (19.9%)</w:t>
            </w:r>
          </w:p>
        </w:tc>
      </w:tr>
      <w:tr w:rsidR="003A7E4C" w:rsidRPr="0018090F" w14:paraId="35043FCC" w14:textId="77777777" w:rsidTr="005570AC">
        <w:tc>
          <w:tcPr>
            <w:tcW w:w="3808" w:type="pct"/>
            <w:shd w:val="clear" w:color="auto" w:fill="FFFFFF" w:themeFill="background1"/>
          </w:tcPr>
          <w:p w14:paraId="213CC556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Cirrhosis,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336B435E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27 (5.5%)</w:t>
            </w:r>
          </w:p>
        </w:tc>
      </w:tr>
      <w:tr w:rsidR="003A7E4C" w:rsidRPr="0018090F" w14:paraId="58A13326" w14:textId="77777777" w:rsidTr="005570AC">
        <w:tc>
          <w:tcPr>
            <w:tcW w:w="3808" w:type="pct"/>
            <w:shd w:val="clear" w:color="auto" w:fill="FFFFFF" w:themeFill="background1"/>
          </w:tcPr>
          <w:p w14:paraId="7F1035FE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Malignancy, n (%)</w:t>
            </w:r>
          </w:p>
        </w:tc>
        <w:tc>
          <w:tcPr>
            <w:tcW w:w="1192" w:type="pct"/>
            <w:shd w:val="clear" w:color="auto" w:fill="FFFFFF" w:themeFill="background1"/>
          </w:tcPr>
          <w:p w14:paraId="2BF45D04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90 (18.3%)</w:t>
            </w:r>
          </w:p>
        </w:tc>
      </w:tr>
      <w:tr w:rsidR="003A7E4C" w:rsidRPr="0018090F" w14:paraId="2BE0C854" w14:textId="77777777" w:rsidTr="005570AC">
        <w:tc>
          <w:tcPr>
            <w:tcW w:w="3808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3B342AB2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Immunosuppression, n (%)</w:t>
            </w:r>
          </w:p>
        </w:tc>
        <w:tc>
          <w:tcPr>
            <w:tcW w:w="1192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5B56CC19" w14:textId="77777777" w:rsidR="003A7E4C" w:rsidRPr="0018090F" w:rsidRDefault="003A7E4C" w:rsidP="005570AC">
            <w:pPr>
              <w:rPr>
                <w:sz w:val="18"/>
                <w:szCs w:val="18"/>
              </w:rPr>
            </w:pPr>
            <w:r w:rsidRPr="0018090F">
              <w:rPr>
                <w:sz w:val="18"/>
                <w:szCs w:val="18"/>
              </w:rPr>
              <w:t>29 (5.9%)</w:t>
            </w:r>
          </w:p>
        </w:tc>
      </w:tr>
    </w:tbl>
    <w:p w14:paraId="0FCB79E6" w14:textId="77777777" w:rsidR="003A7E4C" w:rsidRPr="0018090F" w:rsidRDefault="003A7E4C" w:rsidP="003A7E4C">
      <w:pPr>
        <w:rPr>
          <w:sz w:val="18"/>
          <w:szCs w:val="18"/>
        </w:rPr>
      </w:pPr>
      <w:r w:rsidRPr="0018090F">
        <w:rPr>
          <w:sz w:val="18"/>
          <w:szCs w:val="18"/>
        </w:rPr>
        <w:t>Values are n (%) unless otherwise stated. IQR, interquartile range. Severity/support flags refer to the first 24</w:t>
      </w:r>
      <w:r>
        <w:rPr>
          <w:sz w:val="18"/>
          <w:szCs w:val="18"/>
        </w:rPr>
        <w:t xml:space="preserve">h </w:t>
      </w:r>
      <w:r w:rsidRPr="0018090F">
        <w:rPr>
          <w:sz w:val="18"/>
          <w:szCs w:val="18"/>
        </w:rPr>
        <w:t>after admission. All years reflect the final counts after applying the deduplication rule (first admission per patient)</w:t>
      </w:r>
    </w:p>
    <w:p w14:paraId="4C5D10E3" w14:textId="77777777" w:rsidR="00721A0D" w:rsidRDefault="00721A0D"/>
    <w:sectPr w:rsidR="00721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4D"/>
    <w:rsid w:val="00350EF3"/>
    <w:rsid w:val="003A7E4C"/>
    <w:rsid w:val="003F6632"/>
    <w:rsid w:val="005D0D4D"/>
    <w:rsid w:val="00721A0D"/>
    <w:rsid w:val="00847C5D"/>
    <w:rsid w:val="00EF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015A0E-B41D-404C-9219-45C2E1D6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E4C"/>
    <w:pPr>
      <w:spacing w:after="0" w:line="28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D4D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o-RO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D4D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o-RO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D4D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o-RO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D4D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ro-RO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D4D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ro-RO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D4D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ro-RO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D4D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ro-RO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D4D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ro-RO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D4D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ro-RO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D4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D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D4D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D4D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D4D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D4D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D4D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D4D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D4D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5D0D4D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o-RO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0D4D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D4D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o-RO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0D4D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5D0D4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ro-RO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0D4D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5D0D4D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2"/>
      <w:szCs w:val="22"/>
      <w:lang w:val="ro-RO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0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ro-RO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D4D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5D0D4D"/>
    <w:rPr>
      <w:b/>
      <w:bCs/>
      <w:smallCaps/>
      <w:color w:val="2F5496" w:themeColor="accent1" w:themeShade="BF"/>
      <w:spacing w:val="5"/>
    </w:rPr>
  </w:style>
  <w:style w:type="paragraph" w:customStyle="1" w:styleId="MDPI22heading2">
    <w:name w:val="MDPI_2.2_heading2"/>
    <w:qFormat/>
    <w:rsid w:val="003A7E4C"/>
    <w:pPr>
      <w:adjustRightInd w:val="0"/>
      <w:snapToGrid w:val="0"/>
      <w:spacing w:before="60" w:after="60" w:line="280" w:lineRule="atLeast"/>
      <w:ind w:left="2608"/>
      <w:outlineLvl w:val="1"/>
    </w:pPr>
    <w:rPr>
      <w:rFonts w:ascii="Palatino Linotype" w:eastAsia="Times New Roman" w:hAnsi="Palatino Linotype" w:cs="Times New Roman"/>
      <w:i/>
      <w:noProof/>
      <w:snapToGrid w:val="0"/>
      <w:color w:val="000000"/>
      <w:kern w:val="0"/>
      <w:sz w:val="20"/>
      <w:lang w:eastAsia="de-DE" w:bidi="en-US"/>
      <w14:ligatures w14:val="none"/>
    </w:rPr>
  </w:style>
  <w:style w:type="table" w:styleId="TableGrid">
    <w:name w:val="Table Grid"/>
    <w:basedOn w:val="TableNormal"/>
    <w:uiPriority w:val="59"/>
    <w:rsid w:val="003A7E4C"/>
    <w:pPr>
      <w:spacing w:after="0" w:line="26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Jacobus Antonie</dc:creator>
  <cp:keywords/>
  <dc:description/>
  <cp:lastModifiedBy>Jacobus Antonie</cp:lastModifiedBy>
  <cp:revision>2</cp:revision>
  <dcterms:created xsi:type="dcterms:W3CDTF">2026-02-22T11:08:00Z</dcterms:created>
  <dcterms:modified xsi:type="dcterms:W3CDTF">2026-02-22T11:08:00Z</dcterms:modified>
</cp:coreProperties>
</file>