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vertAnchor="page" w:horzAnchor="margin" w:tblpXSpec="center" w:tblpY="2868"/>
        <w:tblW w:w="6523" w:type="dxa"/>
        <w:tblBorders>
          <w:bottom w:val="single" w:sz="4" w:space="0" w:color="auto"/>
          <w:insideH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828"/>
        <w:gridCol w:w="1275"/>
        <w:gridCol w:w="1420"/>
      </w:tblGrid>
      <w:tr w:rsidR="002C323E" w:rsidRPr="0018090F" w14:paraId="4CB687E0" w14:textId="77777777" w:rsidTr="002C323E">
        <w:tc>
          <w:tcPr>
            <w:tcW w:w="3828" w:type="dxa"/>
            <w:vAlign w:val="center"/>
          </w:tcPr>
          <w:p w14:paraId="3524FB12" w14:textId="77777777" w:rsidR="002C323E" w:rsidRPr="0018090F" w:rsidRDefault="002C323E" w:rsidP="002C323E">
            <w:pPr>
              <w:pStyle w:val="MDPI42tablebody"/>
              <w:rPr>
                <w:b/>
                <w:bCs/>
              </w:rPr>
            </w:pPr>
            <w:r w:rsidRPr="0018090F">
              <w:rPr>
                <w:b/>
                <w:bCs/>
              </w:rPr>
              <w:t>Metric</w:t>
            </w:r>
          </w:p>
        </w:tc>
        <w:tc>
          <w:tcPr>
            <w:tcW w:w="1275" w:type="dxa"/>
            <w:vAlign w:val="bottom"/>
            <w:hideMark/>
          </w:tcPr>
          <w:p w14:paraId="66C0B96E" w14:textId="77777777" w:rsidR="002C323E" w:rsidRPr="0018090F" w:rsidRDefault="002C323E" w:rsidP="002C323E">
            <w:pPr>
              <w:pStyle w:val="MDPI42tablebody"/>
              <w:rPr>
                <w:b/>
                <w:bCs/>
              </w:rPr>
            </w:pPr>
            <w:r w:rsidRPr="0018090F">
              <w:rPr>
                <w:rFonts w:cs="Calibri"/>
                <w:b/>
                <w:bCs/>
                <w:sz w:val="22"/>
                <w:szCs w:val="22"/>
              </w:rPr>
              <w:t>n</w:t>
            </w:r>
          </w:p>
        </w:tc>
        <w:tc>
          <w:tcPr>
            <w:tcW w:w="1420" w:type="dxa"/>
            <w:vAlign w:val="bottom"/>
          </w:tcPr>
          <w:p w14:paraId="0A968D47" w14:textId="77777777" w:rsidR="002C323E" w:rsidRPr="0018090F" w:rsidRDefault="002C323E" w:rsidP="002C323E">
            <w:pPr>
              <w:pStyle w:val="MDPI42tablebody"/>
              <w:rPr>
                <w:b/>
                <w:bCs/>
              </w:rPr>
            </w:pPr>
            <w:r>
              <w:rPr>
                <w:rFonts w:cs="Calibri"/>
                <w:b/>
                <w:bCs/>
                <w:sz w:val="22"/>
                <w:szCs w:val="22"/>
              </w:rPr>
              <w:t>%</w:t>
            </w:r>
          </w:p>
        </w:tc>
      </w:tr>
      <w:tr w:rsidR="002C323E" w:rsidRPr="0018090F" w14:paraId="722DA0B3" w14:textId="77777777" w:rsidTr="002C323E">
        <w:tc>
          <w:tcPr>
            <w:tcW w:w="3828" w:type="dxa"/>
            <w:hideMark/>
          </w:tcPr>
          <w:p w14:paraId="1187873A" w14:textId="77777777" w:rsidR="002C323E" w:rsidRPr="0018090F" w:rsidRDefault="002C323E" w:rsidP="002C323E">
            <w:pPr>
              <w:pStyle w:val="MDPI42tablebody"/>
            </w:pPr>
            <w:r w:rsidRPr="0018090F">
              <w:t>Exact identical regimen set</w:t>
            </w:r>
          </w:p>
        </w:tc>
        <w:tc>
          <w:tcPr>
            <w:tcW w:w="1275" w:type="dxa"/>
            <w:vAlign w:val="bottom"/>
          </w:tcPr>
          <w:p w14:paraId="175B704C" w14:textId="77777777" w:rsidR="002C323E" w:rsidRPr="0018090F" w:rsidRDefault="002C323E" w:rsidP="002C323E">
            <w:pPr>
              <w:pStyle w:val="MDPI42tablebody"/>
            </w:pPr>
            <w:r w:rsidRPr="0018090F">
              <w:rPr>
                <w:rFonts w:cs="Calibri"/>
                <w:sz w:val="22"/>
                <w:szCs w:val="22"/>
              </w:rPr>
              <w:t>57</w:t>
            </w:r>
          </w:p>
        </w:tc>
        <w:tc>
          <w:tcPr>
            <w:tcW w:w="1420" w:type="dxa"/>
            <w:vAlign w:val="bottom"/>
          </w:tcPr>
          <w:p w14:paraId="29EFDE3D" w14:textId="77777777" w:rsidR="002C323E" w:rsidRPr="0018090F" w:rsidRDefault="002C323E" w:rsidP="002C323E">
            <w:pPr>
              <w:pStyle w:val="MDPI42tablebody"/>
            </w:pPr>
            <w:r w:rsidRPr="0018090F">
              <w:rPr>
                <w:rFonts w:cs="Calibri"/>
                <w:sz w:val="22"/>
                <w:szCs w:val="22"/>
              </w:rPr>
              <w:t>11.</w:t>
            </w:r>
            <w:r>
              <w:rPr>
                <w:rFonts w:cs="Calibri"/>
                <w:sz w:val="22"/>
                <w:szCs w:val="22"/>
              </w:rPr>
              <w:t>6%</w:t>
            </w:r>
          </w:p>
        </w:tc>
      </w:tr>
      <w:tr w:rsidR="002C323E" w:rsidRPr="0018090F" w14:paraId="6D7B023E" w14:textId="77777777" w:rsidTr="002C323E">
        <w:tc>
          <w:tcPr>
            <w:tcW w:w="3828" w:type="dxa"/>
          </w:tcPr>
          <w:p w14:paraId="5B7AEB5C" w14:textId="77777777" w:rsidR="002C323E" w:rsidRPr="0018090F" w:rsidRDefault="002C323E" w:rsidP="002C323E">
            <w:pPr>
              <w:pStyle w:val="MDPI42tablebody"/>
            </w:pPr>
            <w:r w:rsidRPr="0018090F">
              <w:t>Same primary agent (</w:t>
            </w:r>
            <w:r>
              <w:t>first-listed antibiotic</w:t>
            </w:r>
            <w:r w:rsidRPr="0018090F">
              <w:t>)</w:t>
            </w:r>
          </w:p>
        </w:tc>
        <w:tc>
          <w:tcPr>
            <w:tcW w:w="1275" w:type="dxa"/>
            <w:vAlign w:val="bottom"/>
          </w:tcPr>
          <w:p w14:paraId="15A41DD6" w14:textId="77777777" w:rsidR="002C323E" w:rsidRPr="0018090F" w:rsidRDefault="002C323E" w:rsidP="002C323E">
            <w:pPr>
              <w:pStyle w:val="MDPI42tablebody"/>
            </w:pPr>
            <w:r w:rsidRPr="0018090F">
              <w:rPr>
                <w:rFonts w:cs="Calibri"/>
                <w:sz w:val="22"/>
                <w:szCs w:val="22"/>
              </w:rPr>
              <w:t>137</w:t>
            </w:r>
          </w:p>
        </w:tc>
        <w:tc>
          <w:tcPr>
            <w:tcW w:w="1420" w:type="dxa"/>
            <w:vAlign w:val="bottom"/>
          </w:tcPr>
          <w:p w14:paraId="5419666B" w14:textId="77777777" w:rsidR="002C323E" w:rsidRPr="0018090F" w:rsidRDefault="002C323E" w:rsidP="002C323E">
            <w:pPr>
              <w:pStyle w:val="MDPI42tablebody"/>
            </w:pPr>
            <w:r w:rsidRPr="0018090F">
              <w:rPr>
                <w:rFonts w:cs="Calibri"/>
                <w:sz w:val="22"/>
                <w:szCs w:val="22"/>
              </w:rPr>
              <w:t>27.8</w:t>
            </w:r>
            <w:r>
              <w:rPr>
                <w:rFonts w:cs="Calibri"/>
                <w:sz w:val="22"/>
                <w:szCs w:val="22"/>
              </w:rPr>
              <w:t>%</w:t>
            </w:r>
          </w:p>
        </w:tc>
      </w:tr>
      <w:tr w:rsidR="002C323E" w:rsidRPr="0018090F" w14:paraId="0950E9A2" w14:textId="77777777" w:rsidTr="002C323E">
        <w:tc>
          <w:tcPr>
            <w:tcW w:w="3828" w:type="dxa"/>
            <w:hideMark/>
          </w:tcPr>
          <w:p w14:paraId="2311E987" w14:textId="77777777" w:rsidR="002C323E" w:rsidRPr="0018090F" w:rsidRDefault="002C323E" w:rsidP="002C323E">
            <w:pPr>
              <w:pStyle w:val="MDPI42tablebody"/>
            </w:pPr>
            <w:r w:rsidRPr="0018090F">
              <w:t>Any overlap (</w:t>
            </w:r>
            <w:r w:rsidRPr="00115062">
              <w:t>≥1 shared agent</w:t>
            </w:r>
            <w:r w:rsidRPr="0018090F">
              <w:t>)</w:t>
            </w:r>
          </w:p>
        </w:tc>
        <w:tc>
          <w:tcPr>
            <w:tcW w:w="1275" w:type="dxa"/>
            <w:vAlign w:val="bottom"/>
            <w:hideMark/>
          </w:tcPr>
          <w:p w14:paraId="0138B431" w14:textId="77777777" w:rsidR="002C323E" w:rsidRPr="0018090F" w:rsidRDefault="002C323E" w:rsidP="002C323E">
            <w:pPr>
              <w:pStyle w:val="MDPI42tablebody"/>
            </w:pPr>
            <w:r w:rsidRPr="0018090F">
              <w:rPr>
                <w:rFonts w:cs="Calibri"/>
                <w:sz w:val="22"/>
                <w:szCs w:val="22"/>
              </w:rPr>
              <w:t>148</w:t>
            </w:r>
          </w:p>
        </w:tc>
        <w:tc>
          <w:tcPr>
            <w:tcW w:w="1420" w:type="dxa"/>
            <w:vAlign w:val="bottom"/>
          </w:tcPr>
          <w:p w14:paraId="77656E99" w14:textId="77777777" w:rsidR="002C323E" w:rsidRPr="0018090F" w:rsidRDefault="002C323E" w:rsidP="002C323E">
            <w:pPr>
              <w:pStyle w:val="MDPI42tablebody"/>
            </w:pPr>
            <w:r w:rsidRPr="0018090F">
              <w:rPr>
                <w:rFonts w:cs="Calibri"/>
                <w:sz w:val="22"/>
                <w:szCs w:val="22"/>
              </w:rPr>
              <w:t>30</w:t>
            </w:r>
            <w:r>
              <w:rPr>
                <w:rFonts w:cs="Calibri"/>
                <w:sz w:val="22"/>
                <w:szCs w:val="22"/>
              </w:rPr>
              <w:t>.0%</w:t>
            </w:r>
          </w:p>
        </w:tc>
      </w:tr>
      <w:tr w:rsidR="002C323E" w:rsidRPr="0018090F" w14:paraId="00DA6165" w14:textId="77777777" w:rsidTr="002C323E">
        <w:tc>
          <w:tcPr>
            <w:tcW w:w="3828" w:type="dxa"/>
            <w:hideMark/>
          </w:tcPr>
          <w:p w14:paraId="001FA939" w14:textId="77777777" w:rsidR="002C323E" w:rsidRPr="0018090F" w:rsidRDefault="002C323E" w:rsidP="002C323E">
            <w:pPr>
              <w:pStyle w:val="MDPI42tablebody"/>
            </w:pPr>
            <w:r w:rsidRPr="0018090F">
              <w:t>No overlap (</w:t>
            </w:r>
            <w:r w:rsidRPr="00115062">
              <w:t>0 shared agents</w:t>
            </w:r>
            <w:r w:rsidRPr="0018090F">
              <w:t>)</w:t>
            </w:r>
          </w:p>
        </w:tc>
        <w:tc>
          <w:tcPr>
            <w:tcW w:w="1275" w:type="dxa"/>
            <w:vAlign w:val="bottom"/>
            <w:hideMark/>
          </w:tcPr>
          <w:p w14:paraId="59AB9A1D" w14:textId="77777777" w:rsidR="002C323E" w:rsidRPr="0018090F" w:rsidRDefault="002C323E" w:rsidP="002C323E">
            <w:pPr>
              <w:pStyle w:val="MDPI42tablebody"/>
            </w:pPr>
            <w:r w:rsidRPr="0018090F">
              <w:rPr>
                <w:rFonts w:cs="Calibri"/>
                <w:sz w:val="22"/>
                <w:szCs w:val="22"/>
              </w:rPr>
              <w:t>345</w:t>
            </w:r>
          </w:p>
        </w:tc>
        <w:tc>
          <w:tcPr>
            <w:tcW w:w="1420" w:type="dxa"/>
            <w:vAlign w:val="bottom"/>
          </w:tcPr>
          <w:p w14:paraId="27444366" w14:textId="77777777" w:rsidR="002C323E" w:rsidRPr="0018090F" w:rsidRDefault="002C323E" w:rsidP="002C323E">
            <w:pPr>
              <w:pStyle w:val="MDPI42tablebody"/>
            </w:pPr>
            <w:r w:rsidRPr="0018090F">
              <w:rPr>
                <w:rFonts w:cs="Calibri"/>
                <w:sz w:val="22"/>
                <w:szCs w:val="22"/>
              </w:rPr>
              <w:t>70</w:t>
            </w:r>
            <w:r>
              <w:rPr>
                <w:rFonts w:cs="Calibri"/>
                <w:sz w:val="22"/>
                <w:szCs w:val="22"/>
              </w:rPr>
              <w:t>.0%</w:t>
            </w:r>
          </w:p>
        </w:tc>
      </w:tr>
    </w:tbl>
    <w:p w14:paraId="3CE8D192" w14:textId="77777777" w:rsidR="002C323E" w:rsidRPr="0018090F" w:rsidRDefault="002C323E" w:rsidP="002C323E">
      <w:pPr>
        <w:pStyle w:val="MDPI41tablecaption"/>
        <w:spacing w:before="0"/>
      </w:pPr>
      <w:r w:rsidRPr="0018090F">
        <w:rPr>
          <w:b/>
        </w:rPr>
        <w:t xml:space="preserve">Table 3. </w:t>
      </w:r>
      <w:r w:rsidRPr="0018090F">
        <w:rPr>
          <w:color w:val="auto"/>
        </w:rPr>
        <w:t>Regimen concordance between clinician and LLM regimens (</w:t>
      </w:r>
      <w:r>
        <w:rPr>
          <w:color w:val="auto"/>
        </w:rPr>
        <w:t>n</w:t>
      </w:r>
      <w:r w:rsidRPr="0018090F">
        <w:rPr>
          <w:color w:val="auto"/>
        </w:rPr>
        <w:t>=</w:t>
      </w:r>
      <w:r>
        <w:rPr>
          <w:color w:val="auto"/>
        </w:rPr>
        <w:t xml:space="preserve"> </w:t>
      </w:r>
      <w:r w:rsidRPr="0018090F">
        <w:rPr>
          <w:color w:val="auto"/>
        </w:rPr>
        <w:t>493).</w:t>
      </w:r>
      <w:r>
        <w:rPr>
          <w:color w:val="auto"/>
        </w:rPr>
        <w:t xml:space="preserve"> </w:t>
      </w:r>
      <w:r w:rsidRPr="00115062">
        <w:rPr>
          <w:color w:val="auto"/>
        </w:rPr>
        <w:t>Overlap defined as ≥1 identical antibiotic agent present in both regimen sets (molecule-level mapping)</w:t>
      </w:r>
    </w:p>
    <w:p w14:paraId="67CAEAE7" w14:textId="77777777" w:rsidR="00721A0D" w:rsidRDefault="00721A0D"/>
    <w:sectPr w:rsidR="00721A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6DE7"/>
    <w:rsid w:val="002C323E"/>
    <w:rsid w:val="00350EF3"/>
    <w:rsid w:val="003F6632"/>
    <w:rsid w:val="00721A0D"/>
    <w:rsid w:val="00847C5D"/>
    <w:rsid w:val="00A16DE7"/>
    <w:rsid w:val="00EF5E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6DF1108-5F51-4E30-8DD6-9FF8A9CCA6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23E"/>
    <w:pPr>
      <w:spacing w:after="0" w:line="28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6DE7"/>
    <w:pPr>
      <w:keepNext/>
      <w:keepLines/>
      <w:spacing w:before="360" w:after="80" w:line="259" w:lineRule="auto"/>
      <w:jc w:val="left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ro-RO"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6DE7"/>
    <w:pPr>
      <w:keepNext/>
      <w:keepLines/>
      <w:spacing w:before="160" w:after="80" w:line="259" w:lineRule="auto"/>
      <w:jc w:val="left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ro-RO"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6DE7"/>
    <w:pPr>
      <w:keepNext/>
      <w:keepLines/>
      <w:spacing w:before="160" w:after="80" w:line="259" w:lineRule="auto"/>
      <w:jc w:val="left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ro-RO"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6DE7"/>
    <w:pPr>
      <w:keepNext/>
      <w:keepLines/>
      <w:spacing w:before="80" w:after="40" w:line="259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val="ro-RO"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6DE7"/>
    <w:pPr>
      <w:keepNext/>
      <w:keepLines/>
      <w:spacing w:before="80" w:after="40" w:line="259" w:lineRule="auto"/>
      <w:jc w:val="left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val="ro-RO"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16DE7"/>
    <w:pPr>
      <w:keepNext/>
      <w:keepLines/>
      <w:spacing w:before="40" w:line="259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val="ro-RO"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16DE7"/>
    <w:pPr>
      <w:keepNext/>
      <w:keepLines/>
      <w:spacing w:before="40" w:line="259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val="ro-RO"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16DE7"/>
    <w:pPr>
      <w:keepNext/>
      <w:keepLines/>
      <w:spacing w:line="259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val="ro-RO"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16DE7"/>
    <w:pPr>
      <w:keepNext/>
      <w:keepLines/>
      <w:spacing w:line="259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val="ro-RO"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6DE7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ro-RO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6DE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ro-RO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6DE7"/>
    <w:rPr>
      <w:rFonts w:eastAsiaTheme="majorEastAsia" w:cstheme="majorBidi"/>
      <w:color w:val="2F5496" w:themeColor="accent1" w:themeShade="BF"/>
      <w:sz w:val="28"/>
      <w:szCs w:val="28"/>
      <w:lang w:val="ro-RO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6DE7"/>
    <w:rPr>
      <w:rFonts w:eastAsiaTheme="majorEastAsia" w:cstheme="majorBidi"/>
      <w:i/>
      <w:iCs/>
      <w:color w:val="2F5496" w:themeColor="accent1" w:themeShade="BF"/>
      <w:lang w:val="ro-RO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6DE7"/>
    <w:rPr>
      <w:rFonts w:eastAsiaTheme="majorEastAsia" w:cstheme="majorBidi"/>
      <w:color w:val="2F5496" w:themeColor="accent1" w:themeShade="BF"/>
      <w:lang w:val="ro-RO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6DE7"/>
    <w:rPr>
      <w:rFonts w:eastAsiaTheme="majorEastAsia" w:cstheme="majorBidi"/>
      <w:i/>
      <w:iCs/>
      <w:color w:val="595959" w:themeColor="text1" w:themeTint="A6"/>
      <w:lang w:val="ro-RO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6DE7"/>
    <w:rPr>
      <w:rFonts w:eastAsiaTheme="majorEastAsia" w:cstheme="majorBidi"/>
      <w:color w:val="595959" w:themeColor="text1" w:themeTint="A6"/>
      <w:lang w:val="ro-RO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6DE7"/>
    <w:rPr>
      <w:rFonts w:eastAsiaTheme="majorEastAsia" w:cstheme="majorBidi"/>
      <w:i/>
      <w:iCs/>
      <w:color w:val="272727" w:themeColor="text1" w:themeTint="D8"/>
      <w:lang w:val="ro-RO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6DE7"/>
    <w:rPr>
      <w:rFonts w:eastAsiaTheme="majorEastAsia" w:cstheme="majorBidi"/>
      <w:color w:val="272727" w:themeColor="text1" w:themeTint="D8"/>
      <w:lang w:val="ro-RO"/>
    </w:rPr>
  </w:style>
  <w:style w:type="paragraph" w:styleId="Title">
    <w:name w:val="Title"/>
    <w:basedOn w:val="Normal"/>
    <w:next w:val="Normal"/>
    <w:link w:val="TitleChar"/>
    <w:uiPriority w:val="10"/>
    <w:qFormat/>
    <w:rsid w:val="00A16DE7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ro-RO"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16DE7"/>
    <w:rPr>
      <w:rFonts w:asciiTheme="majorHAnsi" w:eastAsiaTheme="majorEastAsia" w:hAnsiTheme="majorHAnsi" w:cstheme="majorBidi"/>
      <w:spacing w:val="-10"/>
      <w:kern w:val="28"/>
      <w:sz w:val="56"/>
      <w:szCs w:val="56"/>
      <w:lang w:val="ro-RO"/>
    </w:rPr>
  </w:style>
  <w:style w:type="paragraph" w:styleId="Subtitle">
    <w:name w:val="Subtitle"/>
    <w:basedOn w:val="Normal"/>
    <w:next w:val="Normal"/>
    <w:link w:val="SubtitleChar"/>
    <w:uiPriority w:val="11"/>
    <w:qFormat/>
    <w:rsid w:val="00A16DE7"/>
    <w:pPr>
      <w:numPr>
        <w:ilvl w:val="1"/>
      </w:numPr>
      <w:spacing w:after="160" w:line="259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ro-RO"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16DE7"/>
    <w:rPr>
      <w:rFonts w:eastAsiaTheme="majorEastAsia" w:cstheme="majorBidi"/>
      <w:color w:val="595959" w:themeColor="text1" w:themeTint="A6"/>
      <w:spacing w:val="15"/>
      <w:sz w:val="28"/>
      <w:szCs w:val="28"/>
      <w:lang w:val="ro-RO"/>
    </w:rPr>
  </w:style>
  <w:style w:type="paragraph" w:styleId="Quote">
    <w:name w:val="Quote"/>
    <w:basedOn w:val="Normal"/>
    <w:next w:val="Normal"/>
    <w:link w:val="QuoteChar"/>
    <w:uiPriority w:val="29"/>
    <w:qFormat/>
    <w:rsid w:val="00A16DE7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val="ro-RO"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16DE7"/>
    <w:rPr>
      <w:i/>
      <w:iCs/>
      <w:color w:val="404040" w:themeColor="text1" w:themeTint="BF"/>
      <w:lang w:val="ro-RO"/>
    </w:rPr>
  </w:style>
  <w:style w:type="paragraph" w:styleId="ListParagraph">
    <w:name w:val="List Paragraph"/>
    <w:basedOn w:val="Normal"/>
    <w:uiPriority w:val="34"/>
    <w:qFormat/>
    <w:rsid w:val="00A16DE7"/>
    <w:pPr>
      <w:spacing w:after="160" w:line="259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2"/>
      <w:szCs w:val="22"/>
      <w:lang w:val="ro-RO"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16D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16D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val="ro-RO"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16DE7"/>
    <w:rPr>
      <w:i/>
      <w:iCs/>
      <w:color w:val="2F5496" w:themeColor="accent1" w:themeShade="BF"/>
      <w:lang w:val="ro-RO"/>
    </w:rPr>
  </w:style>
  <w:style w:type="character" w:styleId="IntenseReference">
    <w:name w:val="Intense Reference"/>
    <w:basedOn w:val="DefaultParagraphFont"/>
    <w:uiPriority w:val="32"/>
    <w:qFormat/>
    <w:rsid w:val="00A16DE7"/>
    <w:rPr>
      <w:b/>
      <w:bCs/>
      <w:smallCaps/>
      <w:color w:val="2F5496" w:themeColor="accent1" w:themeShade="BF"/>
      <w:spacing w:val="5"/>
    </w:rPr>
  </w:style>
  <w:style w:type="paragraph" w:customStyle="1" w:styleId="MDPI42tablebody">
    <w:name w:val="MDPI_4.2_table_body"/>
    <w:qFormat/>
    <w:rsid w:val="002C323E"/>
    <w:pPr>
      <w:adjustRightInd w:val="0"/>
      <w:snapToGrid w:val="0"/>
      <w:spacing w:after="0" w:line="260" w:lineRule="atLeast"/>
      <w:jc w:val="center"/>
    </w:pPr>
    <w:rPr>
      <w:rFonts w:ascii="Palatino Linotype" w:eastAsia="Times New Roman" w:hAnsi="Palatino Linotype" w:cs="Times New Roman"/>
      <w:snapToGrid w:val="0"/>
      <w:color w:val="000000"/>
      <w:kern w:val="0"/>
      <w:sz w:val="20"/>
      <w:szCs w:val="20"/>
      <w:lang w:eastAsia="de-DE" w:bidi="en-US"/>
      <w14:ligatures w14:val="none"/>
    </w:rPr>
  </w:style>
  <w:style w:type="paragraph" w:customStyle="1" w:styleId="MDPI41tablecaption">
    <w:name w:val="MDPI_4.1_table_caption"/>
    <w:qFormat/>
    <w:rsid w:val="002C323E"/>
    <w:pPr>
      <w:adjustRightInd w:val="0"/>
      <w:snapToGrid w:val="0"/>
      <w:spacing w:before="240" w:after="120" w:line="280" w:lineRule="atLeast"/>
      <w:ind w:left="2608"/>
      <w:jc w:val="both"/>
    </w:pPr>
    <w:rPr>
      <w:rFonts w:ascii="Palatino Linotype" w:eastAsia="Times New Roman" w:hAnsi="Palatino Linotype" w:cs="Cordia New"/>
      <w:color w:val="000000"/>
      <w:kern w:val="0"/>
      <w:sz w:val="18"/>
      <w:lang w:eastAsia="de-DE" w:bidi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53</Words>
  <Characters>312</Characters>
  <Application>Microsoft Office Word</Application>
  <DocSecurity>0</DocSecurity>
  <Lines>2</Lines>
  <Paragraphs>1</Paragraphs>
  <ScaleCrop>false</ScaleCrop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Jacobus Antonie</dc:creator>
  <cp:keywords/>
  <dc:description/>
  <cp:lastModifiedBy>Jacobus Antonie</cp:lastModifiedBy>
  <cp:revision>2</cp:revision>
  <dcterms:created xsi:type="dcterms:W3CDTF">2026-02-22T11:04:00Z</dcterms:created>
  <dcterms:modified xsi:type="dcterms:W3CDTF">2026-02-22T11:04:00Z</dcterms:modified>
</cp:coreProperties>
</file>