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Base de datos de lobbistas ante la UE</w:t>
      </w:r>
    </w:p>
    <w:p>
      <w:pPr>
        <w:spacing w:after="80"/>
      </w:pPr>
      <w:r>
        <w:rPr>
          <w:i/>
          <w:color w:val="52514E"/>
        </w:rPr>
        <w:t>Documentación de fuentes, definiciones y metodología · versión 2026-10-20</w:t>
      </w:r>
    </w:p>
    <w:p>
      <w:pPr>
        <w:pStyle w:val="Heading1"/>
        <w:spacing w:after="80"/>
      </w:pPr>
      <w:r>
        <w:t>1. Qué hay en esta carpeta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Carpeta / fichero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resumen_lobbistas.xlsx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 fila por lobbista (22.397): variables principales del Registro, actividad (reuniones, procedimientos, consultas) y LEI/matriz. Hoja «variables»: diccionario.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1_registro_transparencia/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Tablas del Registro de Transparencia de la UE (un CSV por tabla) y codebook_lobbyists.csv con la definición de cada variable.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2_actividad/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reuniones_eurodiputados_x_organizacion.csv (una fila por reunión y organización asistente); respuestas_consultas_organizaciones.csv (respuestas a consultas de la Comisión, con texto); acto_x_lobista.csv y actos_lobistas.csv (leyes y sus lobbistas).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3_empresas_matrices_orbis/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lobbyist_parents.csv (LEI y matriz de cada empresa, GLEIF); empresas_para_orbis.txt y lei_para_orbis.txt (búsqueda en Orbis).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4_documentos_posicion/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indice_documentos_posicion.csv y textos/ (texto extraído de los documentos de posición adjuntos a las respuestas a consultas, un .txt por documento).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5_base_datos/eu_lobbying.db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Base de datos (SQLite) solo con la información del Registro de Transparencia (ver 4.8). Se abre con DB Browser for SQLite, R (RSQLite), Python o Stata (odbc).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2. Definiciones</w:t>
      </w:r>
    </w:p>
    <w:p>
      <w:pPr>
        <w:pStyle w:val="ListBullet"/>
        <w:spacing w:after="80"/>
      </w:pPr>
      <w:r>
        <w:t>Lobbista: organización inscrita en el Registro de Transparencia de la UE. Clave: lobbyist_id = número de identificación del Registro (p. ej. 880143435725-46).</w:t>
      </w:r>
    </w:p>
    <w:p>
      <w:pPr>
        <w:pStyle w:val="ListBullet"/>
        <w:spacing w:after="80"/>
      </w:pPr>
      <w:r>
        <w:t>Participante no registrado: organización, institución pública o persona que aparece en una reunión o consulta sin número del Registro. No se considera lobbista; va a la tabla non_registered_participants con un identificador interno (NR000001…) asignado al nombre normalizado.</w:t>
      </w:r>
    </w:p>
    <w:p>
      <w:pPr>
        <w:pStyle w:val="ListBullet"/>
        <w:spacing w:after="80"/>
      </w:pPr>
      <w:r>
        <w:t>Reunión: reunión declarada por un eurodiputado en su página oficial (fecha, cargo del eurodiputado, título, organizaciones asistentes y, opcionalmente, procedimiento legislativo).</w:t>
      </w:r>
    </w:p>
    <w:p>
      <w:pPr>
        <w:pStyle w:val="ListBullet"/>
        <w:spacing w:after="80"/>
      </w:pPr>
      <w:r>
        <w:t>Tipo de lobby: agrupación de la categoría de inscripción del Registro (ver 4.2).</w:t>
      </w:r>
    </w:p>
    <w:p>
      <w:pPr>
        <w:pStyle w:val="Heading1"/>
        <w:spacing w:after="80"/>
      </w:pPr>
      <w:r>
        <w:t>3. Fuentes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Fuente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aporta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Acceso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Registro de Transparencia de la 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Organizaciones inscritas: categoría, sede, intereses, nivel de actuación, gasto en representación de intereses, personal, financiación, clientes e intermediarios.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Exportaciones oficiales en XML (data.europa.eu): actual (octubre de 2026) y enero de 2024 (para recuperar organizaciones dadas de baja).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Reuniones de eurodiputados (Parlamento Europeo)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Reuniones declaradas desde junio de 2019: fecha, eurodiputado y su cargo, título, asistentes, número del Registro cuando se indica y procedimiento.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europarl.europa.eu/meps/en/search-meetings; descarga mes a mes (semana o día cuando hay más de 1.000 resultados).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Observatorio Legislativo (OEIL)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Procedimientos, ponentes y ponentes alternativos, comisiones, acontecimientos, actos finales.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oeil.europarl.europa.eu (fichas de procedimiento).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Portal «Have your say» (Comisión)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Respuestas a consultas públicas (organización, tipo, número del Registro, texto) y documentos de posición adjuntos.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pública del portal (allFeedback, download).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GLEIF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LEI de cada empresa y su matriz directa y última.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api.gleif.org (datos abiertos).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EUR-Lex / CELLAR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Textos de propuestas y actos (para las variables de las leyes).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publications.europa.eu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4. Metodología</w:t>
      </w:r>
    </w:p>
    <w:p>
      <w:pPr>
        <w:pStyle w:val="Heading2"/>
        <w:spacing w:after="80"/>
      </w:pPr>
      <w:r>
        <w:t>4.1 Identificación de las organizaciones en reuniones y consultas</w:t>
      </w:r>
    </w:p>
    <w:p>
      <w:pPr>
        <w:spacing w:after="80"/>
      </w:pPr>
      <w:r>
        <w:t>Cada nombre que aparece en una reunión o una consulta se asigna a un lobbista con el primer criterio que funciona:</w:t>
      </w:r>
    </w:p>
    <w:p>
      <w:pPr>
        <w:pStyle w:val="ListBullet"/>
        <w:spacing w:after="80"/>
      </w:pPr>
      <w:r>
        <w:t>1. Número del Registro indicado en la propia fuente (campo lobbyist_id de la reunión o trNumber de la consulta).</w:t>
      </w:r>
    </w:p>
    <w:p>
      <w:pPr>
        <w:pStyle w:val="ListBullet"/>
        <w:spacing w:after="80"/>
      </w:pPr>
      <w:r>
        <w:t>2. Número del Registro escrito dentro del nombre («Organización 12345678-90»).</w:t>
      </w:r>
    </w:p>
    <w:p>
      <w:pPr>
        <w:pStyle w:val="ListBullet"/>
        <w:spacing w:after="80"/>
      </w:pPr>
      <w:r>
        <w:t>3. Coincidencia exacta del nombre o del acrónimo normalizado (sin acentos, mayúsculas, puntuación ni forma jurídica) con el Registro.</w:t>
      </w:r>
    </w:p>
    <w:p>
      <w:pPr>
        <w:pStyle w:val="ListBullet"/>
        <w:spacing w:after="80"/>
      </w:pPr>
      <w:r>
        <w:t>4. Alias manuales de organizaciones frecuentes (org_type_aliases.csv) y revisión manual de duplicados.</w:t>
      </w:r>
    </w:p>
    <w:p>
      <w:pPr>
        <w:pStyle w:val="ListBullet"/>
        <w:spacing w:after="80"/>
      </w:pPr>
      <w:r>
        <w:t>5. Si no se encuentra: participante no registrado (id NR…); las instituciones públicas se marcan con una regla (Comisión, representaciones permanentes, agencias…).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Método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Nombres distintos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Apariciones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nº del Registro en la fuente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12.613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31.300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registrado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22.877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27.498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2.668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revisión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1.017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consultas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nº dentro del 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reuniones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registrado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52.793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69.286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reuniones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nº del Registro en la fuente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50.530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reuniones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33.998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reuniones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revisión manual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7.087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reuniones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nº dentro del nombre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1.976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4.2 Tipos de lobby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Categorías del Registro incluidas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Lobbistas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business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Empresas y grupos; asociaciones empresariales y comerciales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9.738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consultancy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Consultoras profesionales; despachos de abogados; profesionales independientes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ONG, plataformas y redes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5.759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union_prof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Sindicatos y asociaciones profesionales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Centros de pensamiento e investigación; instituciones académicas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1.488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Asociaciones de autoridades públicas; otras entidades públicas o mixtas; entidades de terceros países; iglesias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1.266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unclassified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Número del Registro visto en reuniones o consultas pero ausente de ambas exportaciones (sin categoría)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1.326</w:t>
            </w:r>
          </w:p>
        </w:tc>
      </w:tr>
    </w:tbl>
    <w:p>
      <w:pPr>
        <w:spacing w:after="80"/>
      </w:pPr>
    </w:p>
    <w:p>
      <w:pPr>
        <w:pStyle w:val="Heading2"/>
        <w:spacing w:after="80"/>
      </w:pPr>
      <w:r>
        <w:t>4.3 Versiones del Registro</w:t>
      </w:r>
    </w:p>
    <w:p>
      <w:pPr>
        <w:spacing w:after="80"/>
      </w:pPr>
      <w:r>
        <w:t>Cuando una organización aparece en las dos exportaciones se usa la más reciente. 2024-01: 3.091; 2026-10: 17.980; sin export: 1.326.</w:t>
      </w:r>
    </w:p>
    <w:p>
      <w:pPr>
        <w:pStyle w:val="Heading2"/>
        <w:spacing w:after="80"/>
      </w:pPr>
      <w:r>
        <w:t>4.4 Asignación de reuniones a leyes (procedimientos)</w:t>
      </w:r>
    </w:p>
    <w:p>
      <w:pPr>
        <w:pStyle w:val="ListBullet"/>
        <w:spacing w:after="80"/>
      </w:pPr>
      <w:r>
        <w:t>Procedimiento declarado: el que indica el eurodiputado al publicar la reunión (procedure_source = declared; columna procedure_declared del CSV de reuniones).</w:t>
      </w:r>
    </w:p>
    <w:p>
      <w:pPr>
        <w:pStyle w:val="ListBullet"/>
        <w:spacing w:after="80"/>
      </w:pPr>
      <w:r>
        <w:t>Procedimiento inferido por el título: si el título de la reunión coincide exactamente con un título que al menos tres eurodiputados distintos usan al declarar ese procedimiento («AI Act», «DSA»…), dentro del periodo de tramitación (procedure_source = inferred_alias). Validado sobre reuniones con procedimiento conocido: 94% de acierto. También se usa el código del procedimiento escrito en el título (inferred_code_in_title).</w:t>
      </w:r>
    </w:p>
    <w:p>
      <w:pPr>
        <w:pStyle w:val="ListBullet"/>
        <w:spacing w:after="80"/>
      </w:pPr>
      <w:r>
        <w:t>Importante: el registro de reuniones apenas anotaba el procedimiento antes de 2022 (también en ponentes: 1% en 2019, 4% en 2020, 11% en 2021, 80–92% desde 2022). Para 2019–2021 las reuniones sobre una ley concreta están infrarregistradas.</w:t>
      </w:r>
    </w:p>
    <w:p>
      <w:pPr>
        <w:pStyle w:val="Heading2"/>
        <w:spacing w:after="80"/>
      </w:pPr>
      <w:r>
        <w:t>4.5 Variables de actividad (tabla lobbyists y resumen)</w:t>
      </w:r>
    </w:p>
    <w:p>
      <w:pPr>
        <w:pStyle w:val="ListBullet"/>
        <w:spacing w:after="80"/>
      </w:pPr>
      <w:r>
        <w:t>n_meeting_mentions: veces que la organización aparece como asistente en reuniones de eurodiputados.</w:t>
      </w:r>
    </w:p>
    <w:p>
      <w:pPr>
        <w:pStyle w:val="ListBullet"/>
        <w:spacing w:after="80"/>
      </w:pPr>
      <w:r>
        <w:t>n_meps_met: eurodiputados distintos con los que se reunió; first_meeting / last_meeting: primera y última fecha.</w:t>
      </w:r>
    </w:p>
    <w:p>
      <w:pPr>
        <w:pStyle w:val="ListBullet"/>
        <w:spacing w:after="80"/>
      </w:pPr>
      <w:r>
        <w:t>n_procedures_lobbied (resumen): procedimientos distintos con alguna reunión (declarados o inferidos).</w:t>
      </w:r>
    </w:p>
    <w:p>
      <w:pPr>
        <w:pStyle w:val="ListBullet"/>
        <w:spacing w:after="80"/>
      </w:pPr>
      <w:r>
        <w:t>n_consultation_responses: respuestas a consultas «Have your say»; n_consultation_texts (resumen): respuestas con texto descargado.</w:t>
      </w:r>
    </w:p>
    <w:p>
      <w:pPr>
        <w:pStyle w:val="Heading2"/>
        <w:spacing w:after="80"/>
      </w:pPr>
      <w:r>
        <w:t>4.6 Empresas: LEI y matriz</w:t>
      </w:r>
    </w:p>
    <w:p>
      <w:pPr>
        <w:spacing w:after="80"/>
      </w:pPr>
      <w:r>
        <w:t>Para las empresas con reuniones o respuestas a consultas se limpia el nombre del Registro (se eliminan «and its affiliates», «Brussels office»…), se busca su LEI en GLEIF en el país de la sede (similitud de nombre ≥ 0,85) y se obtiene su matriz última o directa. Resultado en lobbyist_parents.csv: lei, parent_lei, parent_name, orbis_search_name (nombre a buscar en Orbis) y lei_country_match (0 si GLEIF encontró una entidad de otro país: revisar). Ficheros para Orbis: lei_para_orbis.txt (un LEI por línea, el de la matriz si existe) y empresas_para_orbis.txt (nombre y país, para la búsqueda por nombre).</w:t>
      </w:r>
    </w:p>
    <w:p>
      <w:pPr>
        <w:pStyle w:val="Heading2"/>
        <w:spacing w:after="80"/>
      </w:pPr>
      <w:r>
        <w:t>4.7 Documentos de posición</w:t>
      </w:r>
    </w:p>
    <w:p>
      <w:pPr>
        <w:spacing w:after="80"/>
      </w:pPr>
      <w:r>
        <w:t>Se descargaron los adjuntos de las respuestas a consultas de las leyes de la muestra: todos los de lobbistas que se reunieron con eurodiputados sobre la ley (grupo «treated» en el índice) y los de lobbistas sin reuniones (grupo «control»: una muestra por ley y, para los documentos sobre la propuesta publicada, todos). El texto se extrajo con pypdf (PDF) y python-docx (Word); los PDF escaneados como imagen no tienen texto.</w:t>
      </w:r>
    </w:p>
    <w:p>
      <w:pPr>
        <w:pStyle w:val="Heading2"/>
        <w:spacing w:after="80"/>
      </w:pPr>
      <w:r>
        <w:t>4.8 Contenido de la base de datos y cruce con la actividad</w:t>
      </w:r>
    </w:p>
    <w:p>
      <w:pPr>
        <w:spacing w:after="80"/>
      </w:pPr>
      <w:r>
        <w:t>Criterio: la base de datos (5_base_datos/eu_lobbying.db) contiene solo información tomada de las exportaciones oficiales del Registro de Transparencia (variables marcadas [TR] en codebook_lobbyists.csv). Quedan fuera las reuniones, las consultas, las leyes, las identificaciones de nombres, los participantes no registrados, el LEI y las matrices (GLEIF), el tipo de lobby (4.2), los recuentos de actividad (4.5) y las organizaciones cuyo número solo se vio en reuniones o consultas (sin categoría en el Registro). Todo ello sigue disponible en las carpetas 1 a 4 y en resumen_lobbistas.xlsx.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Tabla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Contenido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Filas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lobbyists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Una fila por organización inscrita: datos de inscripción, sede, personal y datos financieros. snapshot e in_latest_register indican de qué exportación procede la fila (4.3).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lobbyist_texts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Textos libres de la inscripción (objetivos, propuestas legislativas, actividades…).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21.071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lobbyist_interests / lobbyist_levels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Ámbitos de interés y niveles de actuación (una fila por valor).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199.155 / 45.728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lobbyist_grants / lobbyist_funding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Subvenciones de la UE y otras fuentes de financiación o aportaciones.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15.248 / 23.806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lobbyist_clients / lobbyist_intermediaries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Clientes (consultoras) e intermediarios contratados.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7.608 / 5.818</w:t>
            </w:r>
          </w:p>
        </w:tc>
      </w:tr>
    </w:tbl>
    <w:p>
      <w:pPr>
        <w:spacing w:after="80"/>
      </w:pPr>
    </w:p>
    <w:p>
      <w:pPr>
        <w:spacing w:after="80"/>
      </w:pPr>
      <w:r>
        <w:t>Cruce con la actividad (CSV de 2_actividad/, unidos por lobbyist_id). Reuniones: register_id_in_source es el número del Registro que la propia fuente indica para ese asistente (vacío si no lo indica o si las listas de nombres y números no tienen la misma longitud); organisation_id es la identificación final y match_method su método: register_id (número de la fuente en esa fila), name_seen_with_register_id (el mismo nombre aparece con número en otra reunión), id_in_name, name, reviewed_duplicate o unregistered (4.1). procedure_declared es el procedimiento declarado; procedure_reference y procedure_source incluyen los inferidos (4.4). Consultas: tr_number es el número declarado en la respuesta; lobbyist_id y match_method, la identificación final. procedure_reference y stage son la asignación propia de cada publicación a un procedimiento. Para usar solo enlaces dados por las fuentes, filtrar match_method = 'register_id'.</w:t>
      </w:r>
    </w:p>
    <w:p>
      <w:pPr>
        <w:pStyle w:val="Heading1"/>
        <w:spacing w:after="80"/>
      </w:pPr>
      <w:r>
        <w:t>5. Cifras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Lobbistas (organizaciones del Registro)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22.397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con al menos una reunión con eurodiputados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8.351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con reuniones asignadas a algún procedimiento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4.601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empresas con LEI encontrado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1.799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Reuniones de eurodiputados (desde junio de 2019)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123.853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Filas reunión × organización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162.913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de ellas con un lobbista registrado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93.792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de ellas con número del Registro indicado en la fuente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50.530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Respuestas de organizaciones a consultas (leyes de la muestra)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49.040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… de lobbistas registrados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22.258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Documentos de posición con texto extraído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8.613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Participantes no registrados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71.195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t>6. Limitaciones</w:t>
      </w:r>
    </w:p>
    <w:p>
      <w:pPr>
        <w:pStyle w:val="ListBullet"/>
        <w:spacing w:after="80"/>
      </w:pPr>
      <w:r>
        <w:t>Las reuniones son las que declaran los eurodiputados. Ponentes, ponentes alternativos y presidentes de comisión están obligados a publicarlas; el resto lo hace de forma voluntaria, así que hay reuniones no declaradas.</w:t>
      </w:r>
    </w:p>
    <w:p>
      <w:pPr>
        <w:pStyle w:val="ListBullet"/>
        <w:spacing w:after="80"/>
      </w:pPr>
      <w:r>
        <w:t>Antes de 2022 casi ninguna reunión indica la ley de la que trata (ver 4.4).</w:t>
      </w:r>
    </w:p>
    <w:p>
      <w:pPr>
        <w:pStyle w:val="ListBullet"/>
        <w:spacing w:after="80"/>
      </w:pPr>
      <w:r>
        <w:t>La identificación por nombre puede fallar con nombres comerciales, traducciones o grupos con varias inscripciones; los nombres no encontrados quedan como participantes no registrados.</w:t>
      </w:r>
    </w:p>
    <w:p>
      <w:pPr>
        <w:pStyle w:val="ListBullet"/>
        <w:spacing w:after="80"/>
      </w:pPr>
      <w:r>
        <w:t>Los datos del Registro (gasto, personal, financiación) los declara la propia organización, a menudo en tramos.</w:t>
      </w:r>
    </w:p>
    <w:p>
      <w:pPr>
        <w:pStyle w:val="ListBullet"/>
        <w:spacing w:after="80"/>
      </w:pPr>
      <w:r>
        <w:t>Algunas fechas de reuniones son erróneas en la fuente (p. ej. posteriores a la fecha de descarga).</w:t>
      </w:r>
    </w:p>
    <w:p>
      <w:pPr>
        <w:pStyle w:val="ListBullet"/>
        <w:spacing w:after="80"/>
      </w:pPr>
      <w:r>
        <w:t>Las campañas de ciudadanos en las consultas no se descargan una a una; aquí solo se usan respuestas de organizaciones.</w:t>
      </w:r>
    </w:p>
    <w:p>
      <w:pPr>
        <w:pStyle w:val="ListBullet"/>
        <w:spacing w:after="80"/>
      </w:pPr>
      <w:r>
        <w:t>LEI: un 35% de las empresas no tiene LEI o GLEIF no lo encuentra con el nombre del Registro.</w:t>
      </w:r>
    </w:p>
    <w:p>
      <w:pPr>
        <w:pStyle w:val="Heading1"/>
        <w:spacing w:after="80"/>
      </w:pPr>
      <w:r>
        <w:t>7. Reproducción</w:t>
      </w:r>
    </w:p>
    <w:p>
      <w:pPr>
        <w:spacing w:after="80"/>
      </w:pPr>
      <w:r>
        <w:t>Todo el código está en C:\Users\UIB\eu_parliament_scraper y, numerado por pasos, en EU_Lobbying_Database\codigo_base_lobbistas.txt. Scripts principales: scrape_meetings.py (reuniones), build_lobbyist_tables.py (tablas de lobbistas), infer_meeting_procedures.py (procedimientos inferidos), consultations_pipeline.py y lobby_texts.py (consultas), lobby_pdfs.py (documentos de posición), company_parents.py (LEI y matrices) y lobbyist_package.py (esta carpeta).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