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Transcription: WhatsApp Ptt 2026-06-19 at 15.31.18.ogg (clean_transcript refined)</w:t>
      </w:r>
    </w:p>
    <w:p>
      <w:r>
        <w:t>Date: 2026-06-21 14:17</w:t>
      </w:r>
    </w:p>
    <w:p>
      <w:r>
        <w:t>Model: voxtral-mini-latest</w:t>
      </w:r>
    </w:p>
    <w:p>
      <w:r>
        <w:t>Refined with: clean_transcript</w:t>
      </w:r>
    </w:p>
    <w:p/>
    <w:p>
      <w:r>
        <w:rPr>
          <w:sz w:val="22"/>
        </w:rPr>
        <w:t>I like the part about having a working program. Underneath that, we need to address RER, followed by public investment in setting up RER in 2022. Then, we should cover Brydg and how we’ve tracked things licensed by the British Business Bank, such as CBILS.</w:t>
        <w:br/>
        <w:br/>
        <w:t>I think we need sections on RER, Brydg, and the working program—which is essentially a knowledge-sharing initiative as RER develops, similar to working with one of the oldest countries. This working program would outline what the future looks like. We could call it "The Future of Land Registries" or something similar.</w:t>
        <w:br/>
        <w:br/>
        <w:t>This way, everyone involved will want to engage in discussions about what the future of land registries should look like.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