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A0" w:rsidRPr="00AC5825" w:rsidRDefault="002658A0" w:rsidP="002658A0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bookmarkStart w:id="0" w:name="_Hlk516599529"/>
      <w:r w:rsidRPr="00AC5825">
        <w:rPr>
          <w:rFonts w:ascii="Times New Roman" w:hAnsi="Times New Roman" w:cs="Times New Roman"/>
          <w:b/>
          <w:color w:val="000000"/>
          <w:sz w:val="27"/>
          <w:szCs w:val="27"/>
        </w:rPr>
        <w:t>LEI N° 9.610/98 - Direito Autorais</w:t>
      </w:r>
    </w:p>
    <w:p w:rsidR="002658A0" w:rsidRPr="00AC5825" w:rsidRDefault="002658A0" w:rsidP="002658A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2658A0" w:rsidRPr="00AC5825" w:rsidRDefault="002658A0" w:rsidP="002658A0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Direito autoral é um conjunto de prerrogativas conferidas por lei à pessoa física ou jurídica criadora da obra intelectual, para que ela possa gozar dos benefícios morais e patrimoniais resultantes da exploração de suas criações. O direito autoral está regulamentado pela Lei de Direitos Autorais (Lei 9.610/98) e protege as relações entre o criador e quem utiliza suas criações artísticas, literárias ou científicas, tais como textos, livros, pinturas, esculturas, músicas, fotografias etc. Os direitos autorais são divididos, para efeitos legais, em direitos morais e patrimoniais.</w:t>
      </w:r>
    </w:p>
    <w:p w:rsidR="002658A0" w:rsidRPr="00AC5825" w:rsidRDefault="002658A0" w:rsidP="002658A0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A Lei de nº 9.610/98 regulamenta sobre os direitos que o autor, pessoa física, tem sobre sua própria obra, como também os direitos conexos, que envolvem intérpretes ou executantes de produções de terceiros. As obras intelectuais protegidas referem-se aos textos, criações literárias ou científicas, conferências, composições, fotografias, coreografias, filmes, pinturas, esculturas, traduções, enciclopédias, dicionários, programas de computador, projetos e esboços referentes às áreas de engenharia, paisagismo, geografia, cenografia, ciência e arquitetura, sem necessidade de estarem registrados.</w:t>
      </w:r>
    </w:p>
    <w:p w:rsidR="002658A0" w:rsidRPr="00AC5825" w:rsidRDefault="002658A0" w:rsidP="002658A0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Através desta lei, o autor adquire direitos morais e patrimoniais em relação a sua criação. Segundo ela, os direitos morais asseguram a autoria, permitem a preservação do trabalho de qualquer modificação, garantem a reinvindicação, a integridade e até a suspensão da utilização da obra, se ferir a reputação do autor. Já os direitos patrimoniais dizem respeito à utilização econômica e exploração comercial da produção, o direito de utilizar, conceder, licenciar a obra. De acordo com a legislação a validade dos direitos patrimoniais acaba depois de 70 anos, a partir deste momento o objeto vira parte do domínio público.</w:t>
      </w:r>
    </w:p>
    <w:p w:rsidR="002658A0" w:rsidRDefault="002658A0" w:rsidP="002658A0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É estabelecida a proibição da reprodução de trabalhos que não pertençam ao domínio público. De acordo com a lei, se por acaso a obra literária, artística ou científica, for copiada o autor poderá pedir a apreensão deste material. Já se for editada sem autorização do titular, perderá para este os exemplares, além de pagar pelo preço dos que tiver vendido, e em caso de desconhecimento do número, instituem-se o valor de três mil exemplares.</w:t>
      </w:r>
    </w:p>
    <w:p w:rsidR="002658A0" w:rsidRDefault="002658A0" w:rsidP="002658A0">
      <w:pPr>
        <w:ind w:firstLine="708"/>
        <w:rPr>
          <w:rFonts w:ascii="Times New Roman" w:hAnsi="Times New Roman" w:cs="Times New Roman"/>
        </w:rPr>
      </w:pPr>
    </w:p>
    <w:p w:rsidR="002658A0" w:rsidRDefault="002658A0" w:rsidP="002658A0">
      <w:pPr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r>
        <w:rPr>
          <w:rFonts w:ascii="Arial" w:eastAsia="Times New Roman" w:hAnsi="Arial" w:cs="Arial"/>
          <w:color w:val="000000"/>
          <w:sz w:val="33"/>
          <w:szCs w:val="33"/>
          <w:lang w:eastAsia="pt-BR"/>
        </w:rPr>
        <w:br w:type="page"/>
      </w:r>
    </w:p>
    <w:p w:rsidR="002658A0" w:rsidRPr="00B36F49" w:rsidRDefault="002658A0" w:rsidP="002658A0">
      <w:pPr>
        <w:shd w:val="clear" w:color="auto" w:fill="FFFFFF"/>
        <w:spacing w:before="180"/>
        <w:outlineLvl w:val="2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r w:rsidRPr="00B36F49">
        <w:rPr>
          <w:rFonts w:ascii="Arial" w:eastAsia="Times New Roman" w:hAnsi="Arial" w:cs="Arial"/>
          <w:color w:val="000000"/>
          <w:sz w:val="33"/>
          <w:szCs w:val="33"/>
          <w:lang w:eastAsia="pt-BR"/>
        </w:rPr>
        <w:lastRenderedPageBreak/>
        <w:t>Lei 9.609/98: Lei do Software</w:t>
      </w:r>
    </w:p>
    <w:p w:rsidR="002658A0" w:rsidRDefault="002658A0" w:rsidP="002658A0">
      <w:pPr>
        <w:pStyle w:val="NormalWeb"/>
        <w:spacing w:before="0" w:beforeAutospacing="0" w:after="0" w:afterAutospacing="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>    Essa Lei em seu primeiro artigo dá a definição do que é considerado um software. A Lei traz a definição de que é um programa de computador a expressão de um conjunto organizado de instruções em linguagem natural ou codificada, sendo que, aonde a Lei do software não tratar, a Lei 9610/98, que é a Lei dos Direitos Autorais, é utilizada. </w:t>
      </w:r>
    </w:p>
    <w:p w:rsidR="002658A0" w:rsidRDefault="002658A0" w:rsidP="002658A0">
      <w:pPr>
        <w:pStyle w:val="NormalWeb"/>
        <w:spacing w:before="0" w:beforeAutospacing="0" w:after="0" w:afterAutospacing="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>    O software após ser registrado possui um prazo de cinquenta anos, a partir do dia 1º de janeiro do ano seguinte ao de sua publicação ou criação. A Lei do software não possui as disposições relativas aos direitos morais, diferentemente da Lei 9610/98, a Lei dos Direitos Autorais. Os únicos direitos morais que o autor do programa possui é o de abrir mão da paternidade do software e o de se opor a alterações feitas no programa. </w:t>
      </w:r>
    </w:p>
    <w:p w:rsidR="002658A0" w:rsidRDefault="002658A0" w:rsidP="002658A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    O registro do software é facultativo e deve ser feito no INPI (Instituto Nacional de Propriedade Intelectual). De acordo com a Lei, o software produzido por um empregado, contratado, estagiário, entre </w:t>
      </w:r>
      <w:proofErr w:type="gramStart"/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>outros pertence</w:t>
      </w:r>
      <w:proofErr w:type="gramEnd"/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ao empregador. </w:t>
      </w:r>
      <w:r w:rsidRPr="00B36F49">
        <w:rPr>
          <w:rFonts w:ascii="Verdana" w:hAnsi="Verdana"/>
          <w:color w:val="FF0000"/>
          <w:sz w:val="20"/>
          <w:szCs w:val="20"/>
        </w:rPr>
        <w:br/>
      </w:r>
    </w:p>
    <w:p w:rsidR="002658A0" w:rsidRDefault="002658A0" w:rsidP="002658A0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Segundo a </w:t>
      </w:r>
      <w:r>
        <w:rPr>
          <w:rStyle w:val="Forte"/>
          <w:rFonts w:ascii="Arial" w:hAnsi="Arial" w:cs="Arial"/>
          <w:color w:val="000000"/>
          <w:sz w:val="21"/>
          <w:szCs w:val="21"/>
        </w:rPr>
        <w:t>nova Lei nº 9609/98 de 20 de fevereiro de 1998</w:t>
      </w:r>
      <w:r>
        <w:rPr>
          <w:rFonts w:ascii="Arial" w:hAnsi="Arial" w:cs="Arial"/>
          <w:color w:val="000000"/>
          <w:sz w:val="21"/>
          <w:szCs w:val="21"/>
        </w:rPr>
        <w:t>, os programas de computador ficam incluídos no âmbito dos direitos autorais, sendo proibidas a reprodução, a cópia, o aluguel e a utilização de cópias de programas de computador feitas sem a devida autorização do titular dos direitos autorais.</w:t>
      </w:r>
    </w:p>
    <w:p w:rsidR="002658A0" w:rsidRDefault="002658A0" w:rsidP="002658A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legislação de software estabelece que a violação destes direitos é passível de ação criminal e de ação cível de indenização. O infrator fica sujeito a detenção de 6 meses a 2 anos e multas diárias pelo uso ilegal dos programas. Combinada com a Lei do Direito Autoral, a Lei de Software permite que as perdas e danos do titular do programa sejam ressarcidos pelo valor equivalente a 3.000 cópias de cada software ilegalmente produzido. Caso a infração seja feita com o intuito de comercialização, a pena passa a ser de reclusão de 1 a 4 anos.</w:t>
      </w:r>
    </w:p>
    <w:p w:rsidR="002658A0" w:rsidRDefault="002658A0" w:rsidP="002658A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nova lei prevê ainda, que praticada a pirataria, o Poder Fiscalizador do Estado passa a investigar a sonegação fiscal relacionada à atividade da reprodução ilegal do software, seja para fins comerciais ou não.</w:t>
      </w:r>
    </w:p>
    <w:p w:rsidR="002658A0" w:rsidRDefault="002658A0" w:rsidP="002658A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</w:p>
    <w:p w:rsidR="002658A0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</w:p>
    <w:p w:rsidR="002658A0" w:rsidRDefault="002658A0" w:rsidP="002658A0">
      <w:pPr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:rsidR="002658A0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A</w:t>
      </w:r>
      <w:r w:rsidRPr="005B37E5">
        <w:rPr>
          <w:rFonts w:ascii="Arial" w:hAnsi="Arial" w:cs="Arial"/>
          <w:color w:val="000000"/>
          <w:sz w:val="21"/>
          <w:szCs w:val="21"/>
        </w:rPr>
        <w:t xml:space="preserve"> Lei 12.737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5B37E5">
        <w:rPr>
          <w:rFonts w:ascii="Arial" w:hAnsi="Arial" w:cs="Arial"/>
          <w:color w:val="000000"/>
          <w:sz w:val="21"/>
          <w:szCs w:val="21"/>
        </w:rPr>
        <w:t xml:space="preserve">Carolina Dieckmann 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</w:t>
      </w:r>
      <w:r w:rsidRPr="005B37E5">
        <w:rPr>
          <w:rFonts w:ascii="Arial" w:hAnsi="Arial" w:cs="Arial"/>
          <w:color w:val="000000"/>
          <w:sz w:val="21"/>
          <w:szCs w:val="21"/>
        </w:rPr>
        <w:t xml:space="preserve"> Lei Carolina Dieckmann é o nome midiático à lei de número 12.737, aprovada em 2012. Seu texto continha algumas alterações no Código Penal Brasileiro, no sentido de tipificar crimes de natureza “cibernética”.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5B37E5">
        <w:rPr>
          <w:rFonts w:ascii="Arial" w:hAnsi="Arial" w:cs="Arial"/>
          <w:color w:val="000000"/>
          <w:sz w:val="21"/>
          <w:szCs w:val="21"/>
        </w:rPr>
        <w:t>Até então, não eram exatamente declarados os crimes que ocorriam em esfera digital, caso não se assemelhassem analogicamente a fatos comuns.</w:t>
      </w:r>
    </w:p>
    <w:p w:rsidR="002658A0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Seu projeto foi apresentado em 29 de novembro de 2011, e seu sancionamento pela presidente (o que inclui a votação nas casas legislativas previamente) ocorreu em 2 de dezembro de 2012. O período de um ano destoa dramaticamente da aprovação padrão de leis, que pode levar décadas.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Seu propósito era que, com a tipificação deste tipo de crime, as atividades de hackers fossem inibidas. A pressa, no entanto, parece deixar de lado algumas questões técnicas essenciais.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 xml:space="preserve">A Lei Carolina Dieckmann prevê parte do novo texto dos artigos 154, 266 e 298 do Código penal. Resumindo as alterações, determina-se que a “invasão de dispositivo informático alheio” para obtenção de dados sem autorização é punível com detenção de três meses a </w:t>
      </w:r>
      <w:proofErr w:type="gramStart"/>
      <w:r w:rsidRPr="005B37E5">
        <w:rPr>
          <w:rFonts w:ascii="Arial" w:hAnsi="Arial" w:cs="Arial"/>
          <w:color w:val="000000"/>
          <w:sz w:val="21"/>
          <w:szCs w:val="21"/>
        </w:rPr>
        <w:t>um anos</w:t>
      </w:r>
      <w:proofErr w:type="gramEnd"/>
      <w:r w:rsidRPr="005B37E5">
        <w:rPr>
          <w:rFonts w:ascii="Arial" w:hAnsi="Arial" w:cs="Arial"/>
          <w:color w:val="000000"/>
          <w:sz w:val="21"/>
          <w:szCs w:val="21"/>
        </w:rPr>
        <w:t xml:space="preserve"> mais multa.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Além disso, a interrupção da prestação de serviço informático também é crime, punível com detenção de um a três anos. De forma geral, a intenção é coibir a prática de atividades consideradas como “</w:t>
      </w:r>
      <w:proofErr w:type="spellStart"/>
      <w:r w:rsidRPr="005B37E5">
        <w:rPr>
          <w:rFonts w:ascii="Arial" w:hAnsi="Arial" w:cs="Arial"/>
          <w:color w:val="000000"/>
          <w:sz w:val="21"/>
          <w:szCs w:val="21"/>
        </w:rPr>
        <w:t>black</w:t>
      </w:r>
      <w:proofErr w:type="spellEnd"/>
      <w:r w:rsidRPr="005B37E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5B37E5">
        <w:rPr>
          <w:rFonts w:ascii="Arial" w:hAnsi="Arial" w:cs="Arial"/>
          <w:color w:val="000000"/>
          <w:sz w:val="21"/>
          <w:szCs w:val="21"/>
        </w:rPr>
        <w:t>hat</w:t>
      </w:r>
      <w:proofErr w:type="spellEnd"/>
      <w:r w:rsidRPr="005B37E5">
        <w:rPr>
          <w:rFonts w:ascii="Arial" w:hAnsi="Arial" w:cs="Arial"/>
          <w:color w:val="000000"/>
          <w:sz w:val="21"/>
          <w:szCs w:val="21"/>
        </w:rPr>
        <w:t>”. No entanto, a lei falha ao especificar tal definição.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Embora haja consenso sobre a necessidade de segurança da privacidade em contexto online, a Lei Carolina Dieckmann levanta uma série de discussões. Para muitos doutrinadores, o texto é excessivamente vago, e carece de aspectos técnicos.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Fala, por exemplo, sobre a tipificação da invasão não autorizada de dispositivo informático. É difícil definir, no entanto, do que se trata a invasão não autorizada. Pergunta-se, por exemplo, se invasão não autorizada exige pessoalidade. Pode-se considerar invasão a obtenção de dados relativos ao uso do próprio site?</w:t>
      </w:r>
    </w:p>
    <w:p w:rsidR="002658A0" w:rsidRDefault="002658A0" w:rsidP="002658A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Esta falta de especificações pode gerar uma perigosa incerteza jurídica. Não ser claro pode tornar qualquer conduta que se assemelhe ao texto como criminosa, o que, por óbvio, possui graves implicações.</w:t>
      </w:r>
    </w:p>
    <w:p w:rsidR="002658A0" w:rsidRDefault="002658A0" w:rsidP="002658A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</w:p>
    <w:p w:rsidR="009A79AF" w:rsidRDefault="009A79AF">
      <w:pPr>
        <w:rPr>
          <w:rFonts w:ascii="Arial" w:eastAsia="Times New Roman" w:hAnsi="Arial" w:cs="Arial"/>
          <w:color w:val="000000"/>
          <w:sz w:val="21"/>
          <w:szCs w:val="21"/>
          <w:lang w:eastAsia="pt-BR" w:bidi="ar-SA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:rsidR="009A79AF" w:rsidRPr="002225C7" w:rsidRDefault="009A79AF" w:rsidP="009A79AF">
      <w:pPr>
        <w:shd w:val="clear" w:color="auto" w:fill="FFFFFF"/>
        <w:rPr>
          <w:rFonts w:ascii="Helvetica" w:eastAsia="Times New Roman" w:hAnsi="Helvetica" w:cs="Times New Roman"/>
          <w:color w:val="333333"/>
          <w:lang w:eastAsia="pt-BR"/>
        </w:rPr>
      </w:pPr>
      <w:r w:rsidRPr="002225C7">
        <w:rPr>
          <w:rFonts w:ascii="Helvetica" w:eastAsia="Times New Roman" w:hAnsi="Helvetica" w:cs="Times New Roman"/>
          <w:color w:val="333333"/>
          <w:lang w:eastAsia="pt-BR"/>
        </w:rPr>
        <w:lastRenderedPageBreak/>
        <w:t>O Marco Civil da Internet é o nome popular da </w:t>
      </w:r>
      <w:r w:rsidRPr="002225C7">
        <w:rPr>
          <w:rFonts w:ascii="Helvetica" w:eastAsia="Times New Roman" w:hAnsi="Helvetica" w:cs="Times New Roman"/>
          <w:b/>
          <w:bCs/>
          <w:color w:val="333333"/>
          <w:lang w:eastAsia="pt-BR"/>
        </w:rPr>
        <w:t>lei nº 12.965</w:t>
      </w:r>
      <w:r w:rsidRPr="002225C7">
        <w:rPr>
          <w:rFonts w:ascii="Helvetica" w:eastAsia="Times New Roman" w:hAnsi="Helvetica" w:cs="Times New Roman"/>
          <w:color w:val="333333"/>
          <w:lang w:eastAsia="pt-BR"/>
        </w:rPr>
        <w:t>, de 23 de abril de 2014</w:t>
      </w:r>
      <w:r>
        <w:rPr>
          <w:rFonts w:ascii="Helvetica" w:eastAsia="Times New Roman" w:hAnsi="Helvetica" w:cs="Times New Roman"/>
          <w:color w:val="333333"/>
          <w:lang w:eastAsia="pt-BR"/>
        </w:rPr>
        <w:t>.</w:t>
      </w:r>
      <w:r w:rsidRPr="002225C7">
        <w:rPr>
          <w:rFonts w:ascii="Helvetica" w:eastAsia="Times New Roman" w:hAnsi="Helvetica" w:cs="Times New Roman"/>
          <w:color w:val="333333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33333"/>
          <w:lang w:eastAsia="pt-BR"/>
        </w:rPr>
        <w:t>C</w:t>
      </w:r>
      <w:r w:rsidRPr="002225C7">
        <w:rPr>
          <w:rFonts w:ascii="Helvetica" w:eastAsia="Times New Roman" w:hAnsi="Helvetica" w:cs="Times New Roman"/>
          <w:color w:val="333333"/>
          <w:lang w:eastAsia="pt-BR"/>
        </w:rPr>
        <w:t>onhecida por “Constituição da Internet”</w:t>
      </w:r>
      <w:r>
        <w:rPr>
          <w:rFonts w:ascii="Helvetica" w:eastAsia="Times New Roman" w:hAnsi="Helvetica" w:cs="Times New Roman"/>
          <w:color w:val="333333"/>
          <w:lang w:eastAsia="pt-BR"/>
        </w:rPr>
        <w:t xml:space="preserve">, </w:t>
      </w:r>
      <w:r w:rsidRPr="002225C7">
        <w:rPr>
          <w:rFonts w:ascii="Helvetica" w:eastAsia="Times New Roman" w:hAnsi="Helvetica" w:cs="Times New Roman"/>
          <w:color w:val="333333"/>
          <w:lang w:eastAsia="pt-BR"/>
        </w:rPr>
        <w:t>é responsável por estabelecer os princípios e garantias normativas do convívio civil na rede mundial online de computadores.</w:t>
      </w:r>
    </w:p>
    <w:p w:rsidR="009A79AF" w:rsidRPr="002225C7" w:rsidRDefault="009A79AF" w:rsidP="009A79AF">
      <w:pPr>
        <w:shd w:val="clear" w:color="auto" w:fill="FFFFFF"/>
        <w:rPr>
          <w:rFonts w:ascii="Helvetica" w:eastAsia="Times New Roman" w:hAnsi="Helvetica" w:cs="Times New Roman"/>
          <w:color w:val="333333"/>
          <w:lang w:eastAsia="pt-BR"/>
        </w:rPr>
      </w:pPr>
      <w:r w:rsidRPr="002225C7">
        <w:rPr>
          <w:rFonts w:ascii="Helvetica" w:eastAsia="Times New Roman" w:hAnsi="Helvetica" w:cs="Times New Roman"/>
          <w:color w:val="333333"/>
          <w:lang w:eastAsia="pt-BR"/>
        </w:rPr>
        <w:t>O principal objetivo do Marco Civil da Internet é prevê práticas criminosas no contexto online (</w:t>
      </w:r>
      <w:r w:rsidRPr="002225C7">
        <w:rPr>
          <w:rFonts w:ascii="Helvetica" w:eastAsia="Times New Roman" w:hAnsi="Helvetica" w:cs="Times New Roman"/>
          <w:b/>
          <w:bCs/>
          <w:color w:val="333333"/>
          <w:lang w:eastAsia="pt-BR"/>
        </w:rPr>
        <w:t>cibe crimes</w:t>
      </w:r>
      <w:r w:rsidRPr="002225C7">
        <w:rPr>
          <w:rFonts w:ascii="Helvetica" w:eastAsia="Times New Roman" w:hAnsi="Helvetica" w:cs="Times New Roman"/>
          <w:color w:val="333333"/>
          <w:lang w:eastAsia="pt-BR"/>
        </w:rPr>
        <w:t>), além de prezar pelos ideais da neutralidade de rede, liberdade de expressão, da privacidade dos usuários e dos direitos humanos.</w:t>
      </w:r>
    </w:p>
    <w:p w:rsidR="009A79AF" w:rsidRDefault="009A79AF" w:rsidP="009A79AF">
      <w:pPr>
        <w:pStyle w:val="NormalWeb"/>
        <w:spacing w:after="0" w:afterAutospacing="0"/>
        <w:rPr>
          <w:color w:val="000000"/>
        </w:rPr>
      </w:pPr>
      <w:r w:rsidRPr="000E3AB2">
        <w:rPr>
          <w:color w:val="000000"/>
        </w:rPr>
        <w:t>Um dos pontos essenciais do Marco Civil é o estabelecimento da neutralidade da rede.</w:t>
      </w:r>
      <w:r w:rsidRPr="000E3AB2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>A </w:t>
      </w:r>
      <w:r>
        <w:rPr>
          <w:rStyle w:val="Forte"/>
          <w:rFonts w:ascii="Helvetica" w:hAnsi="Helvetica"/>
          <w:color w:val="333333"/>
          <w:shd w:val="clear" w:color="auto" w:fill="FFFFFF"/>
        </w:rPr>
        <w:t>neutralidade de rede</w:t>
      </w:r>
      <w:r>
        <w:rPr>
          <w:rFonts w:ascii="Helvetica" w:hAnsi="Helvetica"/>
          <w:color w:val="333333"/>
          <w:shd w:val="clear" w:color="auto" w:fill="FFFFFF"/>
        </w:rPr>
        <w:t> consiste na “democratização” da qualidade e velocidade do acesso à internet, sem discriminações de conteúdos que estão disponíveis no ambiente online.</w:t>
      </w:r>
    </w:p>
    <w:p w:rsidR="009A79AF" w:rsidRDefault="009A79AF" w:rsidP="009A79AF">
      <w:pPr>
        <w:pStyle w:val="NormalWeb"/>
        <w:spacing w:after="0" w:afterAutospacing="0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Em linhas gerais, quer dizer que as operadoras estão proibidas de vender pacotes de internet pelo tipo de uso</w:t>
      </w:r>
    </w:p>
    <w:p w:rsidR="009A79AF" w:rsidRDefault="009A79AF" w:rsidP="009A79AF">
      <w:pPr>
        <w:pStyle w:val="NormalWeb"/>
        <w:spacing w:after="0" w:afterAutospacing="0"/>
        <w:rPr>
          <w:color w:val="000000"/>
        </w:rPr>
      </w:pPr>
    </w:p>
    <w:p w:rsidR="009A79AF" w:rsidRDefault="009A79AF" w:rsidP="009A79AF">
      <w:pPr>
        <w:pStyle w:val="NormalWeb"/>
        <w:spacing w:after="0" w:afterAutospacing="0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Os provedores de internet e de serviços só serão obrigados a fornecer informações dos usuários se receberem ordem judicial. No caso dos registros de conexão, os dados precisam ser mantidos pelo menos por um ano, já os registros de acesso a aplicações têm um prazo menor: seis meses.</w:t>
      </w:r>
    </w:p>
    <w:p w:rsidR="009A79AF" w:rsidRDefault="009A79AF" w:rsidP="009A79AF">
      <w:pPr>
        <w:pStyle w:val="NormalWeb"/>
        <w:spacing w:after="0" w:afterAutospacing="0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Qualquer empresa que opere no Brasil, mesmo sendo estrangeira, precisa respeitar a legislação do país e entregar informações requeridas pela Justiça. Caso contrário, enfrentará sanções entre advertência, multa de até 10% de seu faturamento, suspensão das atividades ou proibição de atuação.</w:t>
      </w:r>
    </w:p>
    <w:p w:rsidR="009A79AF" w:rsidRDefault="009A79AF" w:rsidP="009A79AF">
      <w:pPr>
        <w:pStyle w:val="NormalWeb"/>
        <w:spacing w:after="0" w:afterAutospacing="0"/>
        <w:rPr>
          <w:color w:val="000000"/>
        </w:rPr>
      </w:pPr>
    </w:p>
    <w:p w:rsidR="009A79AF" w:rsidRDefault="009A79AF" w:rsidP="009A79AF">
      <w:pPr>
        <w:pStyle w:val="NormalWeb"/>
        <w:spacing w:after="0" w:afterAutospacing="0"/>
        <w:rPr>
          <w:color w:val="000000"/>
        </w:rPr>
      </w:pPr>
      <w:r>
        <w:rPr>
          <w:rFonts w:ascii="Helvetica" w:hAnsi="Helvetica"/>
          <w:color w:val="333333"/>
          <w:shd w:val="clear" w:color="auto" w:fill="FFFFFF"/>
        </w:rPr>
        <w:t>O princípio da </w:t>
      </w:r>
      <w:r>
        <w:rPr>
          <w:rStyle w:val="Forte"/>
          <w:rFonts w:ascii="Helvetica" w:hAnsi="Helvetica"/>
          <w:color w:val="333333"/>
          <w:shd w:val="clear" w:color="auto" w:fill="FFFFFF"/>
        </w:rPr>
        <w:t>liberdade de expressão</w:t>
      </w:r>
      <w:r>
        <w:rPr>
          <w:rFonts w:ascii="Helvetica" w:hAnsi="Helvetica"/>
          <w:color w:val="333333"/>
          <w:shd w:val="clear" w:color="auto" w:fill="FFFFFF"/>
        </w:rPr>
        <w:t xml:space="preserve"> garante a impossibilidade da censura por parte dos sites e redes sociais, por exemplo, que ficam proibidos de excluir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conteúdos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dos usuários sem determinação exclusiva de uma ordem judicial (com exceção de conteúdos com nudez ou atos sexuais explícitos e privados, por exemplo).</w:t>
      </w:r>
    </w:p>
    <w:p w:rsidR="009A79AF" w:rsidRDefault="009A79AF" w:rsidP="009A79AF">
      <w:pPr>
        <w:pStyle w:val="NormalWeb"/>
        <w:spacing w:after="0" w:afterAutospacing="0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 empresa que fornece conexão nunca poderá ser responsabilizada pelo conteúdo postado por seus clientes. Já quem oferece serviços como redes sociais, blogs, vídeos etc. corre o risco de ser culpado, caso não tire o material do ar depois de avisado judicialmente. Por exemplo: se a Justiça mandar o Google tirar um vídeo racista do YouTube e isso não for feito, o Google se torna responsável por aquele material.</w:t>
      </w:r>
      <w:r w:rsidRPr="000E3AB2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</w:p>
    <w:p w:rsidR="009A79AF" w:rsidRPr="004B4DC8" w:rsidRDefault="009A79AF" w:rsidP="009A79AF">
      <w:pPr>
        <w:pStyle w:val="NormalWeb"/>
        <w:spacing w:after="0" w:afterAutospacing="0"/>
        <w:rPr>
          <w:color w:val="000000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Haverá um prazo para que o conteúdo considerado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ofensivo saia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de circulação, mas o juiz que cuidar do caso pode antecipar isso se houver “prova inequívoca”, levando em conta a repercussão e os danos que o material estiver causando à pessoa prejudicada.</w:t>
      </w:r>
    </w:p>
    <w:p w:rsidR="009A79AF" w:rsidRDefault="009A79AF" w:rsidP="009A79A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  <w:r w:rsidRPr="004B4DC8">
        <w:rPr>
          <w:color w:val="000000"/>
        </w:rPr>
        <w:br w:type="page"/>
      </w:r>
      <w:r>
        <w:rPr>
          <w:rFonts w:ascii="Helvetica" w:hAnsi="Helvetica"/>
          <w:color w:val="333333"/>
        </w:rPr>
        <w:lastRenderedPageBreak/>
        <w:t>O Marco Civil da Internet também garante a </w:t>
      </w:r>
      <w:r>
        <w:rPr>
          <w:rStyle w:val="Forte"/>
          <w:rFonts w:ascii="Helvetica" w:hAnsi="Helvetica"/>
          <w:color w:val="333333"/>
        </w:rPr>
        <w:t>privacidade dos usuários</w:t>
      </w:r>
      <w:r>
        <w:rPr>
          <w:rFonts w:ascii="Helvetica" w:hAnsi="Helvetica"/>
          <w:color w:val="333333"/>
        </w:rPr>
        <w:t>, evitando que as informações pessoais sejam vendidas ou ofertadas para empresas terceiras (nacionais ou internacionais) sem a prévia autorização do usuário (que normalmente deve ser feita no momento do preenchimento dos dados de cadastro de um site, por exemplo).</w:t>
      </w:r>
    </w:p>
    <w:p w:rsidR="00A234CB" w:rsidRPr="009A79AF" w:rsidRDefault="009A79AF" w:rsidP="009A79AF">
      <w:pPr>
        <w:pStyle w:val="NormalWeb"/>
        <w:shd w:val="clear" w:color="auto" w:fill="FFFFFF"/>
        <w:spacing w:before="0" w:beforeAutospacing="0" w:after="293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Além disso, a privacidade também prevê o sigilo nas comunicações feitas no âmbito online pelos usuários.</w:t>
      </w:r>
      <w:bookmarkStart w:id="1" w:name="_GoBack"/>
      <w:bookmarkEnd w:id="0"/>
      <w:bookmarkEnd w:id="1"/>
    </w:p>
    <w:sectPr w:rsidR="00A234CB" w:rsidRPr="009A7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4CB"/>
    <w:rsid w:val="002658A0"/>
    <w:rsid w:val="009A79AF"/>
    <w:rsid w:val="00A234CB"/>
    <w:rsid w:val="00E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5943"/>
  <w15:docId w15:val="{EFD63133-4F2C-48E1-B19E-05B928FD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unhideWhenUsed/>
    <w:rsid w:val="00EA5C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Forte">
    <w:name w:val="Strong"/>
    <w:basedOn w:val="Fontepargpadro"/>
    <w:uiPriority w:val="22"/>
    <w:qFormat/>
    <w:rsid w:val="00EA5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1469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Hudson Silva</cp:lastModifiedBy>
  <cp:revision>4</cp:revision>
  <dcterms:created xsi:type="dcterms:W3CDTF">2018-06-04T23:11:00Z</dcterms:created>
  <dcterms:modified xsi:type="dcterms:W3CDTF">2018-06-13T00:18:00Z</dcterms:modified>
  <dc:language>pt-BR</dc:language>
</cp:coreProperties>
</file>