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A0" w:rsidRPr="00AC5825" w:rsidRDefault="002658A0" w:rsidP="002658A0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bookmarkStart w:id="0" w:name="_Hlk516599529"/>
      <w:r w:rsidRPr="00AC5825">
        <w:rPr>
          <w:rFonts w:ascii="Times New Roman" w:hAnsi="Times New Roman" w:cs="Times New Roman"/>
          <w:b/>
          <w:color w:val="000000"/>
          <w:sz w:val="27"/>
          <w:szCs w:val="27"/>
        </w:rPr>
        <w:t>LEI N° 9.610/98 - Direito Autorais</w:t>
      </w:r>
    </w:p>
    <w:p w:rsidR="002658A0" w:rsidRPr="00AC5825" w:rsidRDefault="002658A0" w:rsidP="002658A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2658A0" w:rsidRPr="00AC5825" w:rsidRDefault="002658A0" w:rsidP="002658A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Direito autoral é um conjunto de prerrogativas conferidas por lei à pessoa física ou jurídica criadora da obra intelectual, para que ela possa gozar dos benefícios morais e patrimoniais resultantes da exploração de suas criações. O direito autoral está regulamentado pela Lei de Direitos Autorais (Lei 9.610/98) e protege as relações entre o criador e quem utiliza suas criações artísticas, literárias ou científicas, tais como textos, livros, pinturas, esculturas, músicas, fotografias etc. Os direitos autorais são divididos, para efeitos legais, em direitos morais e patrimoniais.</w:t>
      </w:r>
    </w:p>
    <w:p w:rsidR="002658A0" w:rsidRPr="00AC5825" w:rsidRDefault="002658A0" w:rsidP="002658A0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A Lei de nº 9.610/98 regulamenta sobre os direitos que o autor, pessoa física, tem sobre sua própria obra, como também os direitos conexos, que envolvem intérpretes ou executantes de produções de terceiros. As obras intelectuais protegidas referem-se aos textos, criações literárias ou científicas, conferências, composições, fotografias, coreografias, filmes, pinturas, esculturas, traduções, enciclopédias, dicionários, programas de computador, projetos e esboços referentes às áreas de engenharia, paisagismo, geografia, cenografia, ciência e arquitetura, sem necessidade de estarem registrados.</w:t>
      </w:r>
    </w:p>
    <w:p w:rsidR="002658A0" w:rsidRPr="00AC5825" w:rsidRDefault="002658A0" w:rsidP="002658A0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Através desta lei, o autor adquire direitos morais e patrimoniais em relação a sua criação. Segundo ela, os direitos morais asseguram a autoria, permitem a preservação do trabalho de qualquer modificação, garantem a reinvindicação, a integridade e até a suspensão da utilização da obra, se ferir a reputação do autor. Já os direitos patrimoniais dizem respeito à utilização econômica e exploração comercial da produção, o direito de utilizar, conceder, licenciar a obra. De acordo com a legislação a validade dos direitos patrimoniais acaba depois de 70 anos, a partir deste momento o objeto vira parte do domínio público.</w:t>
      </w:r>
    </w:p>
    <w:p w:rsidR="002658A0" w:rsidRDefault="002658A0" w:rsidP="002658A0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AC5825">
        <w:rPr>
          <w:rFonts w:ascii="Times New Roman" w:hAnsi="Times New Roman" w:cs="Times New Roman"/>
          <w:color w:val="000000"/>
          <w:sz w:val="27"/>
          <w:szCs w:val="27"/>
        </w:rPr>
        <w:t>É estabelecida a proibição da reprodução de trabalhos que não pertençam ao domínio público. De acordo com a lei, se por acaso a obra literária, artística ou científica, for copiada o autor poderá pedir a apreensão deste material. Já se for editada sem autorização do titular, perderá para este os exemplares, além de pagar pelo preço dos que tiver vendido, e em caso de desconhecimento do número, instituem-se o valor de três mil exemplares.</w:t>
      </w:r>
    </w:p>
    <w:p w:rsidR="002658A0" w:rsidRDefault="002658A0" w:rsidP="002658A0">
      <w:pPr>
        <w:ind w:firstLine="708"/>
        <w:rPr>
          <w:rFonts w:ascii="Times New Roman" w:hAnsi="Times New Roman" w:cs="Times New Roman"/>
        </w:rPr>
      </w:pPr>
    </w:p>
    <w:p w:rsidR="002658A0" w:rsidRDefault="002658A0" w:rsidP="002658A0">
      <w:pPr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>
        <w:rPr>
          <w:rFonts w:ascii="Arial" w:eastAsia="Times New Roman" w:hAnsi="Arial" w:cs="Arial"/>
          <w:color w:val="000000"/>
          <w:sz w:val="33"/>
          <w:szCs w:val="33"/>
          <w:lang w:eastAsia="pt-BR"/>
        </w:rPr>
        <w:br w:type="page"/>
      </w:r>
    </w:p>
    <w:p w:rsidR="002658A0" w:rsidRPr="00B36F49" w:rsidRDefault="002658A0" w:rsidP="002658A0">
      <w:pPr>
        <w:shd w:val="clear" w:color="auto" w:fill="FFFFFF"/>
        <w:spacing w:before="180"/>
        <w:outlineLvl w:val="2"/>
        <w:rPr>
          <w:rFonts w:ascii="Arial" w:eastAsia="Times New Roman" w:hAnsi="Arial" w:cs="Arial"/>
          <w:color w:val="000000"/>
          <w:sz w:val="33"/>
          <w:szCs w:val="33"/>
          <w:lang w:eastAsia="pt-BR"/>
        </w:rPr>
      </w:pPr>
      <w:r w:rsidRPr="00B36F49">
        <w:rPr>
          <w:rFonts w:ascii="Arial" w:eastAsia="Times New Roman" w:hAnsi="Arial" w:cs="Arial"/>
          <w:color w:val="000000"/>
          <w:sz w:val="33"/>
          <w:szCs w:val="33"/>
          <w:lang w:eastAsia="pt-BR"/>
        </w:rPr>
        <w:lastRenderedPageBreak/>
        <w:t>Lei 9.609/98: Lei do Software</w:t>
      </w:r>
    </w:p>
    <w:p w:rsidR="002658A0" w:rsidRDefault="002658A0" w:rsidP="002658A0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    Essa Lei em seu primeiro artigo dá a definição do que é considerado um software. A Lei traz a definição de que é um programa de computador a expressão de um conjunto organizado de instruções em linguagem natural ou codificada, sendo que, aonde a Lei do software não tratar, a Lei 9610/98, que é a Lei dos Direitos Autorais, é utilizada. </w:t>
      </w:r>
    </w:p>
    <w:p w:rsidR="002658A0" w:rsidRDefault="002658A0" w:rsidP="002658A0">
      <w:pPr>
        <w:pStyle w:val="NormalWeb"/>
        <w:spacing w:before="0" w:beforeAutospacing="0" w:after="0" w:afterAutospacing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    O software após ser registrado possui um prazo de cinquenta anos, a partir do dia 1º de janeiro do ano seguinte ao de sua publicação ou criação. A Lei do software não possui as disposições relativas aos direitos morais, diferentemente da Lei 9610/98, a Lei dos Direitos Autorais. Os únicos direitos morais que o autor do programa possui é o de abrir mão da paternidade do software e o de se opor a alterações feitas no programa. </w:t>
      </w:r>
    </w:p>
    <w:p w:rsidR="002658A0" w:rsidRDefault="002658A0" w:rsidP="002658A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    O registro do software é facultativo e deve ser feito no INPI (Instituto Nacional de Propriedade Intelectual). De acordo com a Lei, o software produzido por um empregado, contratado, estagiário, entre </w:t>
      </w:r>
      <w:proofErr w:type="gramStart"/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>outros pertence</w:t>
      </w:r>
      <w:proofErr w:type="gramEnd"/>
      <w:r w:rsidRPr="00B36F49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ao empregador. </w:t>
      </w:r>
      <w:r w:rsidRPr="00B36F49">
        <w:rPr>
          <w:rFonts w:ascii="Verdana" w:hAnsi="Verdana"/>
          <w:color w:val="FF0000"/>
          <w:sz w:val="20"/>
          <w:szCs w:val="20"/>
        </w:rPr>
        <w:br/>
      </w:r>
    </w:p>
    <w:p w:rsidR="002658A0" w:rsidRDefault="002658A0" w:rsidP="002658A0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Segundo a </w:t>
      </w:r>
      <w:r>
        <w:rPr>
          <w:rStyle w:val="Forte"/>
          <w:rFonts w:ascii="Arial" w:hAnsi="Arial" w:cs="Arial"/>
          <w:color w:val="000000"/>
          <w:sz w:val="21"/>
          <w:szCs w:val="21"/>
        </w:rPr>
        <w:t>nova Lei nº 9609/98 de 20 de fevereiro de 1998</w:t>
      </w:r>
      <w:r>
        <w:rPr>
          <w:rFonts w:ascii="Arial" w:hAnsi="Arial" w:cs="Arial"/>
          <w:color w:val="000000"/>
          <w:sz w:val="21"/>
          <w:szCs w:val="21"/>
        </w:rPr>
        <w:t>, os programas de computador ficam incluídos no âmbito dos direitos autorais, sendo proibidas a reprodução, a cópia, o aluguel e a utilização de cópias de programas de computador feitas sem a devida autorização do titular dos direitos autorais.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legislação de software estabelece que a violação destes direitos é passível de ação criminal e de ação cível de indenização. O infrator fica sujeito a detenção de 6 meses a 2 anos e multas diárias pelo uso ilegal dos programas. Combinada com a Lei do Direito Autoral, a Lei de Software permite que as perdas e danos do titular do programa sejam ressarcidos pelo valor equivalente a 3.000 cópias de cada software ilegalmente produzido. Caso a infração seja feita com o intuito de comercialização, a pena passa a ser de reclusão de 1 a 4 anos.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nova lei prevê ainda, que praticada a pirataria, o Poder Fiscalizador do Estado passa a investigar a sonegação fiscal relacionada à atividade da reprodução ilegal do software, seja para fins comerciais ou não.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</w:p>
    <w:p w:rsidR="002658A0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</w:p>
    <w:p w:rsidR="002658A0" w:rsidRDefault="002658A0" w:rsidP="002658A0">
      <w:pPr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:rsidR="002658A0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</w:t>
      </w:r>
      <w:r w:rsidRPr="005B37E5">
        <w:rPr>
          <w:rFonts w:ascii="Arial" w:hAnsi="Arial" w:cs="Arial"/>
          <w:color w:val="000000"/>
          <w:sz w:val="21"/>
          <w:szCs w:val="21"/>
        </w:rPr>
        <w:t xml:space="preserve"> Lei 12.737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5B37E5">
        <w:rPr>
          <w:rFonts w:ascii="Arial" w:hAnsi="Arial" w:cs="Arial"/>
          <w:color w:val="000000"/>
          <w:sz w:val="21"/>
          <w:szCs w:val="21"/>
        </w:rPr>
        <w:t xml:space="preserve">Carolina Dieckmann 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</w:t>
      </w:r>
      <w:r w:rsidRPr="005B37E5">
        <w:rPr>
          <w:rFonts w:ascii="Arial" w:hAnsi="Arial" w:cs="Arial"/>
          <w:color w:val="000000"/>
          <w:sz w:val="21"/>
          <w:szCs w:val="21"/>
        </w:rPr>
        <w:t xml:space="preserve"> Lei Carolina Dieckmann é o nome midiático à lei de número 12.737, aprovada em 2012. Seu texto continha algumas alterações no Código Penal Brasileiro, no sentido de tipificar crimes de natureza “cibernética”.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5B37E5">
        <w:rPr>
          <w:rFonts w:ascii="Arial" w:hAnsi="Arial" w:cs="Arial"/>
          <w:color w:val="000000"/>
          <w:sz w:val="21"/>
          <w:szCs w:val="21"/>
        </w:rPr>
        <w:t>Até então, não eram exatamente declarados os crimes que ocorriam em esfera digital, caso não se assemelhassem analogicamente a fatos comuns.</w:t>
      </w:r>
    </w:p>
    <w:p w:rsidR="002658A0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Seu projeto foi apresentado em 29 de novembro de 2011, e seu sancionamento pela presidente (o que inclui a votação nas casas legislativas previamente) ocorreu em 2 de dezembro de 2012. O período de um ano destoa dramaticamente da aprovação padrão de leis, que pode levar décadas.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Seu propósito era que, com a tipificação deste tipo de crime, as atividades de hackers fossem inibidas. A pressa, no entanto, parece deixar de lado algumas questões técnicas essenciais.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 xml:space="preserve">A Lei Carolina Dieckmann prevê parte do novo texto dos artigos 154, 266 e 298 do Código penal. Resumindo as alterações, determina-se que a “invasão de dispositivo informático alheio” para obtenção de dados sem autorização é punível com detenção de três meses a </w:t>
      </w:r>
      <w:proofErr w:type="gramStart"/>
      <w:r w:rsidRPr="005B37E5">
        <w:rPr>
          <w:rFonts w:ascii="Arial" w:hAnsi="Arial" w:cs="Arial"/>
          <w:color w:val="000000"/>
          <w:sz w:val="21"/>
          <w:szCs w:val="21"/>
        </w:rPr>
        <w:t>um anos</w:t>
      </w:r>
      <w:proofErr w:type="gramEnd"/>
      <w:r w:rsidRPr="005B37E5">
        <w:rPr>
          <w:rFonts w:ascii="Arial" w:hAnsi="Arial" w:cs="Arial"/>
          <w:color w:val="000000"/>
          <w:sz w:val="21"/>
          <w:szCs w:val="21"/>
        </w:rPr>
        <w:t xml:space="preserve"> mais multa.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Além disso, a interrupção da prestação de serviço informático também é crime, punível com detenção de um a três anos. De forma geral, a intenção é coibir a prática de atividades consideradas como “</w:t>
      </w:r>
      <w:proofErr w:type="spellStart"/>
      <w:r w:rsidRPr="005B37E5">
        <w:rPr>
          <w:rFonts w:ascii="Arial" w:hAnsi="Arial" w:cs="Arial"/>
          <w:color w:val="000000"/>
          <w:sz w:val="21"/>
          <w:szCs w:val="21"/>
        </w:rPr>
        <w:t>black</w:t>
      </w:r>
      <w:proofErr w:type="spellEnd"/>
      <w:r w:rsidRPr="005B37E5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5B37E5">
        <w:rPr>
          <w:rFonts w:ascii="Arial" w:hAnsi="Arial" w:cs="Arial"/>
          <w:color w:val="000000"/>
          <w:sz w:val="21"/>
          <w:szCs w:val="21"/>
        </w:rPr>
        <w:t>hat</w:t>
      </w:r>
      <w:proofErr w:type="spellEnd"/>
      <w:r w:rsidRPr="005B37E5">
        <w:rPr>
          <w:rFonts w:ascii="Arial" w:hAnsi="Arial" w:cs="Arial"/>
          <w:color w:val="000000"/>
          <w:sz w:val="21"/>
          <w:szCs w:val="21"/>
        </w:rPr>
        <w:t>”. No entanto, a lei falha ao especificar tal definição.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Embora haja consenso sobre a necessidade de segurança da privacidade em contexto online, a Lei Carolina Dieckmann levanta uma série de discussões. Para muitos doutrinadores, o texto é excessivamente vago, e carece de aspectos técnicos.</w:t>
      </w: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</w:p>
    <w:p w:rsidR="002658A0" w:rsidRPr="005B37E5" w:rsidRDefault="002658A0" w:rsidP="002658A0">
      <w:pPr>
        <w:pStyle w:val="NormalWeb"/>
        <w:spacing w:after="18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Fala, por exemplo, sobre a tipificação da invasão não autorizada de dispositivo informático. É difícil definir, no entanto, do que se trata a invasão não autorizada. Pergunta-se, por exemplo, se invasão não autorizada exige pessoalidade. Pode-se considerar invasão a obtenção de dados relativos ao uso do próprio site?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  <w:r w:rsidRPr="005B37E5">
        <w:rPr>
          <w:rFonts w:ascii="Arial" w:hAnsi="Arial" w:cs="Arial"/>
          <w:color w:val="000000"/>
          <w:sz w:val="21"/>
          <w:szCs w:val="21"/>
        </w:rPr>
        <w:t>Esta falta de especificações pode gerar uma perigosa incerteza jurídica. Não ser claro pode tornar qualquer conduta que se assemelhe ao texto como criminosa, o que, por óbvio, possui graves implicações.</w:t>
      </w: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</w:p>
    <w:p w:rsidR="002658A0" w:rsidRDefault="002658A0" w:rsidP="002658A0">
      <w:pPr>
        <w:pStyle w:val="NormalWeb"/>
        <w:spacing w:before="0" w:beforeAutospacing="0" w:after="180" w:afterAutospacing="0"/>
        <w:rPr>
          <w:rFonts w:ascii="Arial" w:hAnsi="Arial" w:cs="Arial"/>
          <w:color w:val="000000"/>
          <w:sz w:val="21"/>
          <w:szCs w:val="21"/>
        </w:rPr>
      </w:pPr>
    </w:p>
    <w:p w:rsidR="002658A0" w:rsidRPr="00B36F49" w:rsidRDefault="002658A0" w:rsidP="002658A0">
      <w:pPr>
        <w:ind w:firstLine="708"/>
        <w:rPr>
          <w:rFonts w:ascii="Times New Roman" w:hAnsi="Times New Roman" w:cs="Times New Roman"/>
          <w:color w:val="FF0000"/>
        </w:rPr>
      </w:pPr>
      <w:r w:rsidRPr="00B36F49">
        <w:rPr>
          <w:rFonts w:ascii="Verdana" w:hAnsi="Verdana"/>
          <w:color w:val="FF0000"/>
          <w:sz w:val="20"/>
          <w:szCs w:val="20"/>
        </w:rPr>
        <w:br/>
      </w:r>
      <w:r w:rsidRPr="00B36F49">
        <w:rPr>
          <w:rFonts w:ascii="Verdana" w:hAnsi="Verdana"/>
          <w:color w:val="FF0000"/>
          <w:sz w:val="20"/>
          <w:szCs w:val="20"/>
        </w:rPr>
        <w:br/>
      </w:r>
      <w:r>
        <w:rPr>
          <w:rFonts w:ascii="Times New Roman" w:hAnsi="Times New Roman" w:cs="Times New Roman"/>
          <w:color w:val="FF0000"/>
        </w:rPr>
        <w:t>'</w:t>
      </w:r>
      <w:bookmarkEnd w:id="0"/>
    </w:p>
    <w:p w:rsidR="00A234CB" w:rsidRPr="002658A0" w:rsidRDefault="00A234CB" w:rsidP="002658A0">
      <w:bookmarkStart w:id="1" w:name="_GoBack"/>
      <w:bookmarkEnd w:id="1"/>
    </w:p>
    <w:sectPr w:rsidR="00A234CB" w:rsidRPr="00265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4CB"/>
    <w:rsid w:val="002658A0"/>
    <w:rsid w:val="00A234CB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63133-4F2C-48E1-B19E-05B928FD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A5C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EA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1023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3</cp:revision>
  <dcterms:created xsi:type="dcterms:W3CDTF">2018-06-04T23:11:00Z</dcterms:created>
  <dcterms:modified xsi:type="dcterms:W3CDTF">2018-06-12T23:52:00Z</dcterms:modified>
  <dc:language>pt-BR</dc:language>
</cp:coreProperties>
</file>