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Information Guide</w:t>
      </w:r>
    </w:p>
    <w:p>
      <w:r>
        <w:t>Coping dynamics reveal individual resilience following early-life stress</w:t>
      </w:r>
    </w:p>
    <w:p>
      <w:r>
        <w:rPr>
          <w:b/>
        </w:rPr>
        <w:t>Supplementary Video 1. Representative MoSeq syllables and canonical skeleton trajectories.</w:t>
      </w:r>
    </w:p>
    <w:p>
      <w:r>
        <w:t>The video presents three representative pose-overlaid occurrences for each available common syllable (0–34), grouped by the seven curated behavioral classes or labeled unassigned, alongside the corresponding canonical 14-point skeleton trajectory. Climbing (class 111) is presented separately because it was defined by the floor-overlap rule rather than as a canonical MoSeq syllable. The white dot identifies frames assigned to the displayed syllable. Videos are shown at 25 frames s⁻¹ and contain no audio.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