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2A44"/>
          <w:sz w:val="38"/>
          <w:szCs w:val="38"/>
        </w:rPr>
        <w:t xml:space="preserve">Requisitos para Fechar o Projeto</w:t>
      </w:r>
    </w:p>
    <w:p>
      <w:pPr>
        <w:spacing w:after="60"/>
      </w:pPr>
      <w:r>
        <w:rPr>
          <w:rFonts w:ascii="Calibri" w:cs="Calibri" w:eastAsia="Calibri" w:hAnsi="Calibri"/>
          <w:color w:val="00A99D"/>
          <w:sz w:val="24"/>
          <w:szCs w:val="24"/>
        </w:rPr>
        <w:t xml:space="preserve">Aromas da Tarde — Loja Online</w:t>
      </w:r>
    </w:p>
    <w:p>
      <w:pPr>
        <w:spacing w:after="25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Loop Future · 27 de julho de 2026 · Objetivo: go-live até 31 de julho</w:t>
      </w:r>
    </w:p>
    <w:p>
      <w:p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Este documento reúne tudo o que falta para colocar a loja no ar, organizado por responsável. A base técnica está pronta; o caminho crítico são agora alguns elementos do cliente e do parceiro que gere o PHC.</w:t>
      </w:r>
    </w:p>
    <w:p>
      <w:pPr>
        <w:pStyle w:val="Heading1"/>
        <w:pBdr>
          <w:bottom w:val="single" w:color="00A99D" w:sz="12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1. Já concluído (Loop Future)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Ligação ao PHC validada; catálogo analisado (4 152 artigos publicáveis).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Loja Shopify criada e configurada: nome "Aromas da Tarde", moeda EUR, Portugal.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2 378 produtos importados (ativos, por família, com preço c/IVA e stock).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11 coleções por família (cobrem ~97% do catálogo) + menu de navegação.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IVA: preços já incluem imposto (sem dupla taxação no checkout).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Verificação de idade (18+) instalada e ativa — requisito legal do álcool.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Tema "Various" instalado (em avaliação) e início da homepage em português.</w:t>
      </w:r>
    </w:p>
    <w:p>
      <w:pPr>
        <w:pStyle w:val="Heading1"/>
        <w:pBdr>
          <w:bottom w:val="single" w:color="00A99D" w:sz="12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2. Falta — Aromas da Tarde (cliente)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56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80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Logótipo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Ficheiro do logótipo em PNG ou SVG (fundo transparente). Aparece no cabeçalho da loja.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Dados de pagamento</w:t>
            </w:r>
          </w:p>
        </w:tc>
        <w:tc>
          <w:tcPr>
            <w:tcW w:type="dxa" w:w="456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 ativar o Shopify Payments: denominação legal, NIF, morada da sede, IBAN, e dados do representante legal (nome, data de nascimento, documento). Confirmar métodos: cartão + Multibanco.</w:t>
            </w:r>
          </w:p>
        </w:tc>
        <w:tc>
          <w:tcPr>
            <w:tcW w:type="dxa" w:w="180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 (sem isto não há vendas)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Domínio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domínio já foi adquirido (dominios.pt); falta autorizar a alteração de 2 registos DNS que a Loop indica (processo simples, guiado).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00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Aprovar publicação do tema</w:t>
            </w:r>
          </w:p>
        </w:tc>
        <w:tc>
          <w:tcPr>
            <w:tcW w:type="dxa" w:w="456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tema "Various" tem um custo único (~$220 USD) cobrado ao publicar. Confirmar que se avança.</w:t>
            </w:r>
          </w:p>
        </w:tc>
        <w:tc>
          <w:tcPr>
            <w:tcW w:type="dxa" w:w="180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</w:tr>
    </w:tbl>
    <w:p>
      <w:p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3. Falta — Parceiro que gere o PHC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56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800"/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Fotografias dos produtos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Ficheiros de imagem dos artigos (99,6% têm imagem no PHC como referência de ficheiro). Requisitos detalhados no documento próprio "Requisitos-Fotografias-Produtos".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 (loja sem imagens)</w:t>
            </w:r>
          </w:p>
        </w:tc>
      </w:tr>
      <w:tr>
        <w:tc>
          <w:tcPr>
            <w:tcW w:type="dxa" w:w="300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 de seleção de artigos</w:t>
            </w:r>
          </w:p>
        </w:tc>
        <w:tc>
          <w:tcPr>
            <w:tcW w:type="dxa" w:w="456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Confirmar qual o campo do PHC corresponde ao "quadradinho" da ficha de artigo, para o filtro da loja ficar exato.</w:t>
            </w:r>
          </w:p>
        </w:tc>
        <w:tc>
          <w:tcPr>
            <w:tcW w:type="dxa" w:w="180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Dicionário de encomendas</w:t>
            </w:r>
          </w:p>
        </w:tc>
        <w:tc>
          <w:tcPr>
            <w:tcW w:type="dxa" w:w="4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Estrutura das tabelas de encomendas/clientes e regras de inserção (dossier, numeração, campos, triggers) — para a fase de registo automático das encomendas no PHC.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Médio (fase 2)</w:t>
            </w:r>
          </w:p>
        </w:tc>
      </w:tr>
      <w:tr>
        <w:tc>
          <w:tcPr>
            <w:tcW w:type="dxa" w:w="300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Ambiente de testes</w:t>
            </w:r>
          </w:p>
        </w:tc>
        <w:tc>
          <w:tcPr>
            <w:tcW w:type="dxa" w:w="456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 validar a escrita das encomendas antes de produção. Até lá, a Loop mantém apenas leitura.</w:t>
            </w:r>
          </w:p>
        </w:tc>
        <w:tc>
          <w:tcPr>
            <w:tcW w:type="dxa" w:w="1800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Médio (fase 2)</w:t>
            </w:r>
          </w:p>
        </w:tc>
      </w:tr>
    </w:tbl>
    <w:p>
      <w:p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4. Falta — Loop Future (interno)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Finalizar a homepage do tema Various (hero, menu de bebidas, coleções em destaque, remover conteúdo de demonstração).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Carregar as fotografias dos produtos assim que chegarem.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Ligar o domínio (registos DNS) e o certificado de segurança.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Configurar os pagamentos com os dados do cliente.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Publicar o tema e remover a proteção por senha (abrir a loja).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>Fase 2: sincronização diária automática PHC → loja e registo das encomendas no PHC (depende do dicionário do parceiro).</w:t>
      </w:r>
    </w:p>
    <w:p>
      <w:pPr>
        <w:pStyle w:val="Heading1"/>
        <w:pBdr>
          <w:bottom w:val="single" w:color="00A99D" w:sz="12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5. Sequência recomendada (até 31 de julho)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sz w:val="22"/>
          <w:szCs w:val="22"/>
        </w:rPr>
        <w:t xml:space="preserve">enviar logótipo + dados de pagamento; autorizar DNS e a publicação do tema.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Parceiro PHC: </w:t>
      </w:r>
      <w:r>
        <w:rPr>
          <w:rFonts w:ascii="Calibri" w:cs="Calibri" w:eastAsia="Calibri" w:hAnsi="Calibri"/>
          <w:sz w:val="22"/>
          <w:szCs w:val="22"/>
        </w:rPr>
        <w:t xml:space="preserve">entregar as fotografias (o mais urgente) e confirmar o campo de seleção.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Loop: </w:t>
      </w:r>
      <w:r>
        <w:rPr>
          <w:rFonts w:ascii="Calibri" w:cs="Calibri" w:eastAsia="Calibri" w:hAnsi="Calibri"/>
          <w:sz w:val="22"/>
          <w:szCs w:val="22"/>
        </w:rPr>
        <w:t xml:space="preserve">com os elementos acima — finalizar homepage, carregar imagens, ligar domínio, configurar pagamentos, publicar e abrir a loja.</w:t>
      </w:r>
    </w:p>
    <w:p>
      <w:p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1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Resumo do caminho crítico: </w:t>
      </w:r>
      <w:r>
        <w:rPr>
          <w:rFonts w:ascii="Calibri" w:cs="Calibri" w:eastAsia="Calibri" w:hAnsi="Calibri"/>
          <w:sz w:val="22"/>
          <w:szCs w:val="22"/>
        </w:rPr>
        <w:t xml:space="preserve">os três bloqueadores que decidem o go-live desta semana são as fotografias (parceiro PHC), o logótipo e os dados de pagamento (cliente). Tudo o resto está pronto ou depende só destes.</w:t>
      </w:r>
    </w:p>
    <w:p>
      <w:pPr>
        <w:spacing w:after="110" w:line="29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10" w:line="29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Loop Future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Loop Future · Confidencial — Aromas da Tarde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8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2A44"/>
        <w:sz w:val="26"/>
        <w:szCs w:val="26"/>
      </w:rPr>
      <w:t xml:space="preserve">LOOP</w:t>
    </w:r>
    <w:r>
      <w:rPr>
        <w:rFonts w:ascii="Calibri" w:cs="Calibri" w:eastAsia="Calibri" w:hAnsi="Calibri"/>
        <w:b/>
        <w:bCs/>
        <w:color w:val="00A99D"/>
        <w:sz w:val="26"/>
        <w:szCs w:val="26"/>
      </w:rPr>
      <w:t xml:space="preserve"> FUTURE</w:t>
    </w:r>
    <w:r>
      <w:rPr>
        <w:rFonts w:ascii="Calibri" w:cs="Calibri" w:eastAsia="Calibri" w:hAnsi="Calibri"/>
        <w:color w:val="6B7280"/>
        <w:sz w:val="18"/>
        <w:szCs w:val="18"/>
      </w:rPr>
      <w:t xml:space="preserve">	Aromas da Tarde — Loja Online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2026-07-27T18:31:26.663Z</dcterms:created>
  <dcterms:modified xsi:type="dcterms:W3CDTF">2026-07-27T18:31:26.667Z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