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</w:pPr>
      <w:r>
        <w:rPr>
          <w:rFonts w:ascii="Calibri" w:cs="Calibri" w:eastAsia="Calibri" w:hAnsi="Calibri"/>
          <w:b/>
          <w:bCs/>
          <w:color w:val="1F2A44"/>
          <w:sz w:val="40"/>
          <w:szCs w:val="40"/>
        </w:rPr>
        <w:t xml:space="preserve">Requisitos em Falta — Loja Online</w:t>
      </w:r>
    </w:p>
    <w:p>
      <w:pPr>
        <w:spacing w:after="60"/>
      </w:pPr>
      <w:r>
        <w:rPr>
          <w:rFonts w:ascii="Calibri" w:cs="Calibri" w:eastAsia="Calibri" w:hAnsi="Calibri"/>
          <w:color w:val="00A99D"/>
          <w:sz w:val="26"/>
          <w:szCs w:val="26"/>
        </w:rPr>
        <w:t xml:space="preserve">Aromas da Tarde — Consolidado após reunião de 23 de julho</w:t>
      </w:r>
    </w:p>
    <w:p>
      <w:pPr>
        <w:spacing w:after="30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23 de julho de 2026  ·  Loop Future  ·  Contacto técnico: António Sousa</w:t>
      </w:r>
    </w:p>
    <w:p>
      <w:pPr>
        <w:pStyle w:val="Heading1"/>
        <w:pBdr>
          <w:bottom w:val="single" w:color="00A99D" w:sz="1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1. Decisões registadas na reunião</w:t>
      </w:r>
    </w:p>
    <w:tbl>
      <w:tblPr>
        <w:tblW w:type="dxa" w:w="9360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Tema</w:t>
            </w:r>
          </w:p>
        </w:tc>
        <w:tc>
          <w:tcPr>
            <w:tcW w:type="dxa" w:w="6460"/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Decisão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Seleção de artigos para a loja</w:t>
            </w:r>
          </w:p>
        </w:tc>
        <w:tc>
          <w:tcPr>
            <w:tcW w:type="dxa" w:w="6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Entram apenas os artigos marcados com o "quadradinho" (check) na ficha de artigo do PHC. A Loop confirmará com a Expand Target o campo exato correspondente na base de dados, para o filtro da sincronização.</w:t>
            </w:r>
          </w:p>
        </w:tc>
      </w:tr>
      <w:tr>
        <w:tc>
          <w:tcPr>
            <w:tcW w:type="dxa" w:w="29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Artigos esgotados</w:t>
            </w:r>
          </w:p>
        </w:tc>
        <w:tc>
          <w:tcPr>
            <w:tcW w:type="dxa" w:w="646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Orientação preliminar: não aparecem de todo na loja. Ficou nota de que mostrar como "esgotado" também é possível — decisão final é comercial e pode ser revista sem custo técnico.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84 artigos com preço a zero</w:t>
            </w:r>
          </w:p>
        </w:tc>
        <w:tc>
          <w:tcPr>
            <w:tcW w:type="dxa" w:w="6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Esclarecido: são na sua maioria artigos obsoletos herdados da migração de software (já não existem há anos). Ficam fora da loja; casos raros de artigo novo sem preço resolvem-se preenchendo o preço no PHC.</w:t>
            </w:r>
          </w:p>
        </w:tc>
      </w:tr>
      <w:tr>
        <w:tc>
          <w:tcPr>
            <w:tcW w:type="dxa" w:w="29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Domínio</w:t>
            </w:r>
          </w:p>
        </w:tc>
        <w:tc>
          <w:tcPr>
            <w:tcW w:type="dxa" w:w="646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 domínio da Aromas da Tarde já foi adquirido (gestão em dominios.pt). A ligação ao Shopify faz-se por configuração; a Loop indicará os passos exatos (registos DNS) em documento próprio.</w:t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pBdr>
          <w:bottom w:val="single" w:color="00A99D" w:sz="1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2. Requisitos em falta — quem entrega o quê</w:t>
      </w:r>
    </w:p>
    <w:tbl>
      <w:tblPr>
        <w:tblW w:type="dxa" w:w="9360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</w:tblPr>
      <w:tblGrid>
        <w:gridCol w:w="3120"/>
        <w:gridCol w:w="4160"/>
        <w:gridCol w:w="2080"/>
      </w:tblGrid>
      <w:tr>
        <w:trPr>
          <w:tblHeader/>
        </w:trPr>
        <w:tc>
          <w:tcPr>
            <w:tcW w:type="dxa" w:w="3120"/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160"/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  <w:tc>
          <w:tcPr>
            <w:tcW w:type="dxa" w:w="2080"/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Responsável / prazo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Loja Shopify Aromas: tema + acessos</w:t>
            </w:r>
          </w:p>
        </w:tc>
        <w:tc>
          <w:tcPr>
            <w:tcW w:type="dxa" w:w="4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Entrar no Shopify da Aromas da Tarde, escolher o tema e enviar os acessos de administração à Loop (equivalente ao que foi feito para a outra loja).</w:t>
            </w:r>
          </w:p>
        </w:tc>
        <w:tc>
          <w:tcPr>
            <w:tcW w:type="dxa" w:w="20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Miguel + Jorge — combinado para 24/07 de manhã</w:t>
            </w:r>
          </w:p>
        </w:tc>
      </w:tr>
      <w:tr>
        <w:tc>
          <w:tcPr>
            <w:tcW w:type="dxa" w:w="312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Acessos ao domínio</w:t>
            </w:r>
          </w:p>
        </w:tc>
        <w:tc>
          <w:tcPr>
            <w:tcW w:type="dxa" w:w="416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Acesso à gestão do domínio em dominios.pt (ou disponibilidade para alterar os registos DNS que a Loop indicar). Processo simples; a Loop guia passo a passo.</w:t>
            </w:r>
          </w:p>
        </w:tc>
        <w:tc>
          <w:tcPr>
            <w:tcW w:type="dxa" w:w="208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Jorge, com apoio Loop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Setup de pagamentos Shopify</w:t>
            </w:r>
          </w:p>
        </w:tc>
        <w:tc>
          <w:tcPr>
            <w:tcW w:type="dxa" w:w="4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Dados da empresa para ativar os pagamentos: NIF, IBAN, morada fiscal e dados do representante legal; escolha dos métodos a disponibilizar (cartão, MB Way, etc.). Nota: venda de bebidas alcoólicas — a Loop valida os requisitos específicos do Shopify Payments para a categoria.</w:t>
            </w:r>
          </w:p>
        </w:tc>
        <w:tc>
          <w:tcPr>
            <w:tcW w:type="dxa" w:w="20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Jorge fornece dados; Loop configura</w:t>
            </w:r>
          </w:p>
        </w:tc>
      </w:tr>
      <w:tr>
        <w:tc>
          <w:tcPr>
            <w:tcW w:type="dxa" w:w="312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Fotografias dos artigos</w:t>
            </w:r>
          </w:p>
        </w:tc>
        <w:tc>
          <w:tcPr>
            <w:tcW w:type="dxa" w:w="416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As imagens residem no PHC como ficheiros; falta a Expand Target indicar a forma de acesso (pedido formal já entregue). Item prioritário: sem ele, as fichas de produto ficam sem fotografia.</w:t>
            </w:r>
          </w:p>
        </w:tc>
        <w:tc>
          <w:tcPr>
            <w:tcW w:type="dxa" w:w="208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Expand Target (Vitor)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Campo do "check" de seleção</w:t>
            </w:r>
          </w:p>
        </w:tc>
        <w:tc>
          <w:tcPr>
            <w:tcW w:type="dxa" w:w="4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Confirmação técnica de qual o campo da ficha de artigo que corresponde ao quadradinho de seleção referido pelo Jorge, para o filtro do sync ficar exatamente alinhado com a operação.</w:t>
            </w:r>
          </w:p>
        </w:tc>
        <w:tc>
          <w:tcPr>
            <w:tcW w:type="dxa" w:w="20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Expand Target (Vitor)</w:t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pBdr>
          <w:bottom w:val="single" w:color="00A99D" w:sz="1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3. O que já está garantido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Integração com o PHC validada: leitura automática do catálogo completo (4 152 artigos web), preços com IVA e stocks.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Domínio da Aromas da Tarde adquirido.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Pedido técnico à Expand Target entregue (imagens, inserção de encomendas, ambiente de testes).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Demo da loja com o catálogo real disponível para apresentação.</w:t>
      </w:r>
    </w:p>
    <w:p>
      <w:pPr>
        <w:pStyle w:val="Heading1"/>
        <w:pBdr>
          <w:bottom w:val="single" w:color="00A99D" w:sz="1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4. Sequência imediata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24/07: </w:t>
      </w:r>
      <w:r>
        <w:rPr>
          <w:rFonts w:ascii="Calibri" w:cs="Calibri" w:eastAsia="Calibri" w:hAnsi="Calibri"/>
          <w:sz w:val="22"/>
          <w:szCs w:val="22"/>
        </w:rPr>
        <w:t xml:space="preserve">tema escolhido + acessos Shopify enviados à Loop → a Loop inicia a montagem da loja e o carregamento do catálogo. Em paralelo: dados de pagamentos e acessos ao domínio. Com a resposta da Expand Target sobre as imagens, o catálogo fica completo.</w:t>
      </w:r>
    </w:p>
    <w:sectPr>
      <w:headerReference w:type="default" r:id="rId7"/>
      <w:footerReference w:type="default" r:id="rId8"/>
      <w:pgSz w:w="11906" w:h="16838" w:orient="portrait"/>
      <w:pgMar w:top="1134" w:right="1273" w:bottom="1134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5DD" w:sz="4" w:space="4"/>
      </w:pBdr>
      <w:tabs>
        <w:tab w:val="right" w:pos="9360"/>
      </w:tabs>
    </w:pPr>
    <w:r>
      <w:rPr>
        <w:rFonts w:ascii="Calibri" w:cs="Calibri" w:eastAsia="Calibri" w:hAnsi="Calibri"/>
        <w:color w:val="6B7280"/>
        <w:sz w:val="16"/>
        <w:szCs w:val="16"/>
      </w:rPr>
      <w:t xml:space="preserve">Loop Future · Confidencial — Aromas da Tarde</w:t>
    </w:r>
    <w:r>
      <w:rPr>
        <w:rFonts w:ascii="Calibri" w:cs="Calibri" w:eastAsia="Calibri" w:hAnsi="Calibri"/>
        <w:sz w:val="16"/>
        <w:szCs w:val="16"/>
      </w:rPr>
      <w:t xml:space="preserve">	</w:t>
    </w:r>
    <w:r>
      <w:rPr>
        <w:rFonts w:ascii="Calibri" w:cs="Calibri" w:eastAsia="Calibri" w:hAnsi="Calibri"/>
        <w:color w:val="6B7280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2A44" w:sz="8" w:space="4"/>
      </w:pBdr>
      <w:tabs>
        <w:tab w:val="right" w:pos="9360"/>
      </w:tabs>
    </w:pPr>
    <w:r>
      <w:rPr>
        <w:rFonts w:ascii="Calibri" w:cs="Calibri" w:eastAsia="Calibri" w:hAnsi="Calibri"/>
        <w:b/>
        <w:bCs/>
        <w:color w:val="1F2A44"/>
        <w:sz w:val="26"/>
        <w:szCs w:val="26"/>
      </w:rPr>
      <w:t xml:space="preserve">LOOP</w:t>
    </w:r>
    <w:r>
      <w:rPr>
        <w:rFonts w:ascii="Calibri" w:cs="Calibri" w:eastAsia="Calibri" w:hAnsi="Calibri"/>
        <w:b/>
        <w:bCs/>
        <w:color w:val="00A99D"/>
        <w:sz w:val="26"/>
        <w:szCs w:val="26"/>
      </w:rPr>
      <w:t xml:space="preserve"> FUTURE</w:t>
    </w:r>
    <w:r>
      <w:rPr>
        <w:rFonts w:ascii="Calibri" w:cs="Calibri" w:eastAsia="Calibri" w:hAnsi="Calibri"/>
        <w:color w:val="6B7280"/>
        <w:sz w:val="18"/>
        <w:szCs w:val="18"/>
      </w:rPr>
      <w:t xml:space="preserve">	Projeto Aromas da Tarde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2026-07-23T13:40:39.443Z</dcterms:created>
  <dcterms:modified xsi:type="dcterms:W3CDTF">2026-07-23T13:40:39.447Z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