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Pedido de Elementos Técnicos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6"/>
          <w:szCs w:val="26"/>
        </w:rPr>
        <w:t xml:space="preserve">Expand Target — Integração com o PHC CS da Aromas da Tarde</w:t>
      </w:r>
    </w:p>
    <w:p>
      <w:pPr>
        <w:spacing w:after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20 de julho de 2026  ·  Integração PHC CS ↔ Shopify  ·  Contacto técnico: António Sousa (antonio.sousa@loopfuture.com)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seguimento da reunião de 16 de julho e do acesso de consulta já disponibilizado (e validado com sucesso — obrigado), listamos os elementos técnicos de que necessitamos para avançar para as fases seguintes da integração. Organizámos por tema e por ordem de urgência para o planeamento.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Artigos — Acesso às Imagens (prioritário)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campo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st.imagem</w:t>
      </w:r>
      <w:r>
        <w:rPr>
          <w:rFonts w:ascii="Calibri" w:cs="Calibri" w:eastAsia="Calibri" w:hAnsi="Calibri"/>
          <w:sz w:val="22"/>
          <w:szCs w:val="22"/>
        </w:rPr>
        <w:t xml:space="preserve"> contém referências de ficheiro (ex.: "LC.0401"). Para publicarmos as fichas de produto completas na loja, precisamos de saber: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Onde residem os ficheiros de imagem (pasta no servidor, share de rede, URL HTTP)?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Qual a forma de acesso que preferem disponibilizar-nos (leitura direta, cópia periódica, outro)?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Qual o formato e resolução típica dos ficheiros?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Encomendas — Mecanismo de Inserção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Verificámos que existe já o dossier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"1.11 – Encomenda Web"</w:t>
      </w:r>
      <w:r>
        <w:rPr>
          <w:rFonts w:ascii="Calibri" w:cs="Calibri" w:eastAsia="Calibri" w:hAnsi="Calibri"/>
          <w:sz w:val="22"/>
          <w:szCs w:val="22"/>
        </w:rPr>
        <w:t xml:space="preserve"> em utilização pelo portal atual. Antes de qualquer escrita da nossa parte, gostaríamos de alinhar: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As encomendas da nova loja Shopify devem entrar no mesmo dossier "Encomenda Web" ou preferem a criação de um tipo de dossier dedicado (ex.: "Encomenda Shopify"), para separar os canais?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Como devem ser gerados os identificadores internos (stamps) dos cabeçalhos e linhas? Existe rotina/regra própria, ou o método usado pela integração atual pode ser replicado?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Como é atribuída a numeração dos documentos (obrano) de forma segura contra colisões, considerando que o portal atual também insere encomendas?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 campos dos cabeçalhos e tabelas auxiliares são de preenchimento obrigatório para o documento abrir corretamente no PHC?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Existem triggers ou rotinas que corram na inserção (reserva de stock, integrações internas, etc.) que devamos conhecer?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Clientes — Estratégia B2C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loja destina-se exclusivamente a consumidor final. Precisamos de definir em conjunto: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Cada comprador deve originar um registo próprio na tabela de clientes, ou preferem um cliente genérico "Consumidor Final" com os dados de entrega registados na encomenda?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caso de registos próprios: que campos são obrigatórios e que gama de números de cliente devemos utilizar?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Dicionário de Dados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Agradecemos o envio do mapeamento das tabelas de clientes e encomendas referido na reunião (à semelhança do exemplo já enviado para os artigos).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Confirmação da janela horária preferida para a sincronização diária (propomos 22h00–23h00, conforme falado).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Ambiente de Testes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Para a fase de escrita (inserção de encomendas), propomos validar o mecanismo primeiro num ambiente ou conjunto de dados de teste que nos indiquem — só depois passaríamos a produção. Agradecemos indicação da abordagem que preferem.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Compromisso: </w:t>
      </w:r>
      <w:r>
        <w:rPr>
          <w:rFonts w:ascii="Calibri" w:cs="Calibri" w:eastAsia="Calibri" w:hAnsi="Calibri"/>
          <w:sz w:val="22"/>
          <w:szCs w:val="22"/>
        </w:rPr>
        <w:t xml:space="preserve">até essa validação conjunta, a Loop Future continuará a executar exclusivamente operações de leitura sobre a base de dados.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Projeto Aromas da Tarde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2026-07-20T18:02:35.025Z</dcterms:created>
  <dcterms:modified xsi:type="dcterms:W3CDTF">2026-07-20T18:02:35.044Z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