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2937"/>
          <w:sz w:val="34"/>
          <w:szCs w:val="34"/>
        </w:rPr>
        <w:t xml:space="preserve">Aromas da Tarde — Loja Online</w:t>
      </w:r>
    </w:p>
    <w:p>
      <w:pPr>
        <w:spacing w:after="60"/>
      </w:pPr>
      <w:r>
        <w:rPr>
          <w:rFonts w:ascii="Arial" w:cs="Arial" w:eastAsia="Arial" w:hAnsi="Arial"/>
          <w:b/>
          <w:bCs/>
          <w:color w:val="7A2E2E"/>
          <w:sz w:val="22"/>
          <w:szCs w:val="22"/>
        </w:rPr>
        <w:t xml:space="preserve">Ponto de situação e próximos passos</w:t>
      </w:r>
    </w:p>
    <w:p>
      <w:pPr>
        <w:pBdr>
          <w:bottom w:val="single" w:color="7A2E2E" w:sz="6"/>
        </w:pBdr>
        <w:spacing w:after="260"/>
      </w:pPr>
      <w:r>
        <w:rPr>
          <w:rFonts w:ascii="Arial" w:cs="Arial" w:eastAsia="Arial" w:hAnsi="Arial"/>
          <w:color w:val="6B7280"/>
          <w:sz w:val="18"/>
          <w:szCs w:val="18"/>
        </w:rPr>
        <w:t xml:space="preserve">Loop Future · 24 de julho de 2026</w:t>
      </w:r>
    </w:p>
    <w:p>
      <w:pPr>
        <w:spacing w:after="120" w:before="300"/>
      </w:pPr>
      <w:r>
        <w:rPr>
          <w:rFonts w:ascii="Arial" w:cs="Arial" w:eastAsia="Arial" w:hAnsi="Arial"/>
          <w:b/>
          <w:bCs/>
          <w:color w:val="1F2937"/>
          <w:sz w:val="26"/>
          <w:szCs w:val="26"/>
        </w:rPr>
        <w:t xml:space="preserve">1. Enquadramento</w:t>
      </w:r>
    </w:p>
    <w:p>
      <w:pPr>
        <w:spacing w:after="120"/>
      </w:pPr>
      <w:r>
        <w:rPr>
          <w:rFonts w:ascii="Arial" w:cs="Arial" w:eastAsia="Arial" w:hAnsi="Arial"/>
          <w:color w:val="1F2937"/>
          <w:sz w:val="20"/>
          <w:szCs w:val="20"/>
        </w:rPr>
        <w:t xml:space="preserve">Criação da loja online B2C da Aromas da Tarde (bebidas espirituosas, catálogo com cerca de 4.000 artigos ativos para web), com integração ao sistema de gestão PHC para sincronização de artigos, preços e stocks, e registo das encomendas da loja no PHC.</w:t>
      </w:r>
    </w:p>
    <w:p>
      <w:pPr>
        <w:spacing w:after="120" w:before="300"/>
      </w:pPr>
      <w:r>
        <w:rPr>
          <w:rFonts w:ascii="Arial" w:cs="Arial" w:eastAsia="Arial" w:hAnsi="Arial"/>
          <w:b/>
          <w:bCs/>
          <w:color w:val="1F2937"/>
          <w:sz w:val="26"/>
          <w:szCs w:val="26"/>
        </w:rPr>
        <w:t xml:space="preserve">2. Trabalho realizado pela Loop Future</w:t>
      </w:r>
    </w:p>
    <w:p>
      <w:pPr>
        <w:pStyle w:val="ListParagraph"/>
        <w:numPr>
          <w:ilvl w:val="0"/>
          <w:numId w:val="2"/>
        </w:numPr>
        <w:spacing w:after="80"/>
      </w:pPr>
      <w:r>
        <w:rPr>
          <w:rFonts w:ascii="Arial" w:cs="Arial" w:eastAsia="Arial" w:hAnsi="Arial"/>
          <w:color w:val="1F2937"/>
          <w:sz w:val="20"/>
          <w:szCs w:val="20"/>
        </w:rPr>
        <w:t xml:space="preserve">Ligação segura à base de dados do PHC estabelecida e validada, com acessos fornecidos pelo parceiro que gere o sistema PHC</w:t>
      </w:r>
    </w:p>
    <w:p>
      <w:pPr>
        <w:pStyle w:val="ListParagraph"/>
        <w:numPr>
          <w:ilvl w:val="0"/>
          <w:numId w:val="2"/>
        </w:numPr>
        <w:spacing w:after="80"/>
      </w:pPr>
      <w:r>
        <w:rPr>
          <w:rFonts w:ascii="Arial" w:cs="Arial" w:eastAsia="Arial" w:hAnsi="Arial"/>
          <w:color w:val="1F2937"/>
          <w:sz w:val="20"/>
          <w:szCs w:val="20"/>
        </w:rPr>
        <w:t xml:space="preserve">Análise completa do catálogo: 4.152 artigos identificados para web (de 6.097 no sistema), organizados em 27 famílias</w:t>
      </w:r>
    </w:p>
    <w:p>
      <w:pPr>
        <w:pStyle w:val="ListParagraph"/>
        <w:numPr>
          <w:ilvl w:val="0"/>
          <w:numId w:val="2"/>
        </w:numPr>
        <w:spacing w:after="80"/>
      </w:pPr>
      <w:r>
        <w:rPr>
          <w:rFonts w:ascii="Arial" w:cs="Arial" w:eastAsia="Arial" w:hAnsi="Arial"/>
          <w:color w:val="1F2937"/>
          <w:sz w:val="20"/>
          <w:szCs w:val="20"/>
        </w:rPr>
        <w:t xml:space="preserve">Demonstração navegável da loja construída com os produtos e preços reais do catálogo (com IVA), incluindo pesquisa e filtros — disponível para apreciação</w:t>
      </w:r>
    </w:p>
    <w:p>
      <w:pPr>
        <w:pStyle w:val="ListParagraph"/>
        <w:numPr>
          <w:ilvl w:val="0"/>
          <w:numId w:val="2"/>
        </w:numPr>
        <w:spacing w:after="80"/>
      </w:pPr>
      <w:r>
        <w:rPr>
          <w:rFonts w:ascii="Arial" w:cs="Arial" w:eastAsia="Arial" w:hAnsi="Arial"/>
          <w:color w:val="1F2937"/>
          <w:sz w:val="20"/>
          <w:szCs w:val="20"/>
        </w:rPr>
        <w:t xml:space="preserve">Mapeamento técnico dos dados entre o PHC e a plataforma da loja (Shopify) em preparação</w:t>
      </w:r>
    </w:p>
    <w:p>
      <w:pPr>
        <w:pStyle w:val="ListParagraph"/>
        <w:numPr>
          <w:ilvl w:val="0"/>
          <w:numId w:val="2"/>
        </w:numPr>
        <w:spacing w:after="80"/>
      </w:pPr>
      <w:r>
        <w:rPr>
          <w:rFonts w:ascii="Arial" w:cs="Arial" w:eastAsia="Arial" w:hAnsi="Arial"/>
          <w:color w:val="1F2937"/>
          <w:sz w:val="20"/>
          <w:szCs w:val="20"/>
        </w:rPr>
        <w:t xml:space="preserve">Identificação do circuito de encomendas web já existente no PHC, que servirá de base ao registo automático das encomendas da loja</w:t>
      </w:r>
    </w:p>
    <w:p>
      <w:pPr>
        <w:spacing w:after="120" w:before="300"/>
      </w:pPr>
      <w:r>
        <w:rPr>
          <w:rFonts w:ascii="Arial" w:cs="Arial" w:eastAsia="Arial" w:hAnsi="Arial"/>
          <w:b/>
          <w:bCs/>
          <w:color w:val="1F2937"/>
          <w:sz w:val="26"/>
          <w:szCs w:val="26"/>
        </w:rPr>
        <w:t xml:space="preserve">3. Decisões já confirmadas</w:t>
      </w:r>
    </w:p>
    <w:p>
      <w:pPr>
        <w:pStyle w:val="ListParagraph"/>
        <w:numPr>
          <w:ilvl w:val="0"/>
          <w:numId w:val="2"/>
        </w:numPr>
        <w:spacing w:after="80"/>
      </w:pPr>
      <w:r>
        <w:rPr>
          <w:rFonts w:ascii="Arial" w:cs="Arial" w:eastAsia="Arial" w:hAnsi="Arial"/>
          <w:color w:val="1F2937"/>
          <w:sz w:val="20"/>
          <w:szCs w:val="20"/>
        </w:rPr>
        <w:t xml:space="preserve">Sincronização de artigos, preços e stocks uma vez por dia, fora do horário de expediente</w:t>
      </w:r>
    </w:p>
    <w:p>
      <w:pPr>
        <w:pStyle w:val="ListParagraph"/>
        <w:numPr>
          <w:ilvl w:val="0"/>
          <w:numId w:val="2"/>
        </w:numPr>
        <w:spacing w:after="80"/>
      </w:pPr>
      <w:r>
        <w:rPr>
          <w:rFonts w:ascii="Arial" w:cs="Arial" w:eastAsia="Arial" w:hAnsi="Arial"/>
          <w:color w:val="1F2937"/>
          <w:sz w:val="20"/>
          <w:szCs w:val="20"/>
        </w:rPr>
        <w:t xml:space="preserve">Apenas entram na loja os artigos marcados para web na ficha de artigo do PHC</w:t>
      </w:r>
    </w:p>
    <w:p>
      <w:pPr>
        <w:pStyle w:val="ListParagraph"/>
        <w:numPr>
          <w:ilvl w:val="0"/>
          <w:numId w:val="2"/>
        </w:numPr>
        <w:spacing w:after="80"/>
      </w:pPr>
      <w:r>
        <w:rPr>
          <w:rFonts w:ascii="Arial" w:cs="Arial" w:eastAsia="Arial" w:hAnsi="Arial"/>
          <w:color w:val="1F2937"/>
          <w:sz w:val="20"/>
          <w:szCs w:val="20"/>
        </w:rPr>
        <w:t xml:space="preserve">Artigos esgotados não aparecem na loja (decisão comercial, revisível)</w:t>
      </w:r>
    </w:p>
    <w:p>
      <w:pPr>
        <w:pStyle w:val="ListParagraph"/>
        <w:numPr>
          <w:ilvl w:val="0"/>
          <w:numId w:val="2"/>
        </w:numPr>
        <w:spacing w:after="80"/>
      </w:pPr>
      <w:r>
        <w:rPr>
          <w:rFonts w:ascii="Arial" w:cs="Arial" w:eastAsia="Arial" w:hAnsi="Arial"/>
          <w:color w:val="1F2937"/>
          <w:sz w:val="20"/>
          <w:szCs w:val="20"/>
        </w:rPr>
        <w:t xml:space="preserve">Artigos sem preço (obsoletos de migrações antigas) ficam excluídos</w:t>
      </w:r>
    </w:p>
    <w:p>
      <w:pPr>
        <w:pStyle w:val="ListParagraph"/>
        <w:numPr>
          <w:ilvl w:val="0"/>
          <w:numId w:val="2"/>
        </w:numPr>
        <w:spacing w:after="80"/>
      </w:pPr>
      <w:r>
        <w:rPr>
          <w:rFonts w:ascii="Arial" w:cs="Arial" w:eastAsia="Arial" w:hAnsi="Arial"/>
          <w:color w:val="1F2937"/>
          <w:sz w:val="20"/>
          <w:szCs w:val="20"/>
        </w:rPr>
        <w:t xml:space="preserve">Preço de venda ao público = preço do PHC + IVA</w:t>
      </w:r>
    </w:p>
    <w:p>
      <w:pPr>
        <w:pStyle w:val="ListParagraph"/>
        <w:numPr>
          <w:ilvl w:val="0"/>
          <w:numId w:val="2"/>
        </w:numPr>
        <w:spacing w:after="80"/>
      </w:pPr>
      <w:r>
        <w:rPr>
          <w:rFonts w:ascii="Arial" w:cs="Arial" w:eastAsia="Arial" w:hAnsi="Arial"/>
          <w:color w:val="1F2937"/>
          <w:sz w:val="20"/>
          <w:szCs w:val="20"/>
        </w:rPr>
        <w:t xml:space="preserve">Encomendas da loja registadas no dossier interno do PHC; faturação emitida manualmente no PHC</w:t>
      </w:r>
    </w:p>
    <w:p>
      <w:pPr>
        <w:spacing w:after="120" w:before="300"/>
      </w:pPr>
      <w:r>
        <w:rPr>
          <w:rFonts w:ascii="Arial" w:cs="Arial" w:eastAsia="Arial" w:hAnsi="Arial"/>
          <w:b/>
          <w:bCs/>
          <w:color w:val="1F2937"/>
          <w:sz w:val="26"/>
          <w:szCs w:val="26"/>
        </w:rPr>
        <w:t xml:space="preserve">4. Elementos pendentes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100"/>
        <w:gridCol w:w="6600"/>
      </w:tblGrid>
      <w:tr>
        <w:tc>
          <w:tcPr>
            <w:tcW w:type="dxa" w:w="3100"/>
            <w:shd w:fill="111827" w:val="clear"/>
            <w:tcMar>
              <w:top w:type="dxa" w:w="80"/>
              <w:left w:type="dxa" w:w="120"/>
              <w:bottom w:type="dxa" w:w="80"/>
              <w:right w:type="dxa" w:w="120"/>
            </w:tcMar>
          </w:tcPr>
          <w:p>
            <w:r>
              <w:rPr>
                <w:rFonts w:ascii="Arial" w:cs="Arial" w:eastAsia="Arial" w:hAnsi="Arial"/>
                <w:b/>
                <w:bCs/>
                <w:color w:val="FFFFFF"/>
                <w:sz w:val="18"/>
                <w:szCs w:val="18"/>
              </w:rPr>
              <w:t xml:space="preserve">De quem</w:t>
            </w:r>
          </w:p>
        </w:tc>
        <w:tc>
          <w:tcPr>
            <w:tcW w:type="dxa" w:w="6600"/>
            <w:shd w:fill="111827" w:val="clear"/>
            <w:tcMar>
              <w:top w:type="dxa" w:w="80"/>
              <w:left w:type="dxa" w:w="120"/>
              <w:bottom w:type="dxa" w:w="80"/>
              <w:right w:type="dxa" w:w="120"/>
            </w:tcMar>
          </w:tcPr>
          <w:p>
            <w:r>
              <w:rPr>
                <w:rFonts w:ascii="Arial" w:cs="Arial" w:eastAsia="Arial" w:hAnsi="Arial"/>
                <w:b/>
                <w:bCs/>
                <w:color w:val="FFFFFF"/>
                <w:sz w:val="18"/>
                <w:szCs w:val="18"/>
              </w:rPr>
              <w:t xml:space="preserve">O que falta</w:t>
            </w:r>
          </w:p>
        </w:tc>
      </w:tr>
      <w:tr>
        <w:tc>
          <w:tcPr>
            <w:tcW w:type="dxa" w:w="3100"/>
            <w:tcMar>
              <w:top w:type="dxa" w:w="80"/>
              <w:left w:type="dxa" w:w="120"/>
              <w:bottom w:type="dxa" w:w="80"/>
              <w:right w:type="dxa" w:w="120"/>
            </w:tcMar>
          </w:tcPr>
          <w:p>
            <w:r>
              <w:rPr>
                <w:rFonts w:ascii="Arial" w:cs="Arial" w:eastAsia="Arial" w:hAnsi="Arial"/>
                <w:b w:val="false"/>
                <w:bCs w:val="false"/>
                <w:color w:val="1F2937"/>
                <w:sz w:val="19"/>
                <w:szCs w:val="19"/>
              </w:rPr>
              <w:t xml:space="preserve">Aromas da Tarde</w:t>
            </w:r>
          </w:p>
        </w:tc>
        <w:tc>
          <w:tcPr>
            <w:tcW w:type="dxa" w:w="6600"/>
            <w:tcMar>
              <w:top w:type="dxa" w:w="80"/>
              <w:left w:type="dxa" w:w="120"/>
              <w:bottom w:type="dxa" w:w="80"/>
              <w:right w:type="dxa" w:w="120"/>
            </w:tcMar>
          </w:tcPr>
          <w:p>
            <w:r>
              <w:rPr>
                <w:rFonts w:ascii="Arial" w:cs="Arial" w:eastAsia="Arial" w:hAnsi="Arial"/>
                <w:b w:val="false"/>
                <w:bCs w:val="false"/>
                <w:color w:val="1F2937"/>
                <w:sz w:val="19"/>
                <w:szCs w:val="19"/>
              </w:rPr>
              <w:t xml:space="preserve">Acessos à loja Shopify e escolha do tema; dados da empresa para ativação de pagamentos (denominação legal, NIF, IBAN e identificação do representante legal); confirmação do domínio e acesso à gestão de DNS</w:t>
            </w:r>
          </w:p>
        </w:tc>
      </w:tr>
      <w:tr>
        <w:tc>
          <w:tcPr>
            <w:tcW w:type="dxa" w:w="3100"/>
            <w:shd w:fill="F6F2F2" w:val="clear"/>
            <w:tcMar>
              <w:top w:type="dxa" w:w="80"/>
              <w:left w:type="dxa" w:w="120"/>
              <w:bottom w:type="dxa" w:w="80"/>
              <w:right w:type="dxa" w:w="120"/>
            </w:tcMar>
          </w:tcPr>
          <w:p>
            <w:r>
              <w:rPr>
                <w:rFonts w:ascii="Arial" w:cs="Arial" w:eastAsia="Arial" w:hAnsi="Arial"/>
                <w:b w:val="false"/>
                <w:bCs w:val="false"/>
                <w:color w:val="1F2937"/>
                <w:sz w:val="19"/>
                <w:szCs w:val="19"/>
              </w:rPr>
              <w:t xml:space="preserve">Parceiro que gere o PHC</w:t>
            </w:r>
          </w:p>
        </w:tc>
        <w:tc>
          <w:tcPr>
            <w:tcW w:type="dxa" w:w="6600"/>
            <w:shd w:fill="F6F2F2" w:val="clear"/>
            <w:tcMar>
              <w:top w:type="dxa" w:w="80"/>
              <w:left w:type="dxa" w:w="120"/>
              <w:bottom w:type="dxa" w:w="80"/>
              <w:right w:type="dxa" w:w="120"/>
            </w:tcMar>
          </w:tcPr>
          <w:p>
            <w:r>
              <w:rPr>
                <w:rFonts w:ascii="Arial" w:cs="Arial" w:eastAsia="Arial" w:hAnsi="Arial"/>
                <w:b w:val="false"/>
                <w:bCs w:val="false"/>
                <w:color w:val="1F2937"/>
                <w:sz w:val="19"/>
                <w:szCs w:val="19"/>
              </w:rPr>
              <w:t xml:space="preserve">Confirmação do método correto de registo de encomendas no PHC (numeração e regras internas); forma de acesso às imagens dos artigos; disponibilização de ambiente de testes</w:t>
            </w:r>
          </w:p>
        </w:tc>
      </w:tr>
      <w:tr>
        <w:tc>
          <w:tcPr>
            <w:tcW w:type="dxa" w:w="3100"/>
            <w:tcMar>
              <w:top w:type="dxa" w:w="80"/>
              <w:left w:type="dxa" w:w="120"/>
              <w:bottom w:type="dxa" w:w="80"/>
              <w:right w:type="dxa" w:w="120"/>
            </w:tcMar>
          </w:tcPr>
          <w:p>
            <w:r>
              <w:rPr>
                <w:rFonts w:ascii="Arial" w:cs="Arial" w:eastAsia="Arial" w:hAnsi="Arial"/>
                <w:b w:val="false"/>
                <w:bCs w:val="false"/>
                <w:color w:val="1F2937"/>
                <w:sz w:val="19"/>
                <w:szCs w:val="19"/>
              </w:rPr>
              <w:t xml:space="preserve">Loop Future</w:t>
            </w:r>
          </w:p>
        </w:tc>
        <w:tc>
          <w:tcPr>
            <w:tcW w:type="dxa" w:w="6600"/>
            <w:tcMar>
              <w:top w:type="dxa" w:w="80"/>
              <w:left w:type="dxa" w:w="120"/>
              <w:bottom w:type="dxa" w:w="80"/>
              <w:right w:type="dxa" w:w="120"/>
            </w:tcMar>
          </w:tcPr>
          <w:p>
            <w:r>
              <w:rPr>
                <w:rFonts w:ascii="Arial" w:cs="Arial" w:eastAsia="Arial" w:hAnsi="Arial"/>
                <w:b w:val="false"/>
                <w:bCs w:val="false"/>
                <w:color w:val="1F2937"/>
                <w:sz w:val="19"/>
                <w:szCs w:val="19"/>
              </w:rPr>
              <w:t xml:space="preserve">Desenvolvimento do sincronizador diário e do registo de encomendas, após as confirmações acima; montagem da loja quando houver acessos e tema</w:t>
            </w:r>
          </w:p>
        </w:tc>
      </w:tr>
    </w:tbl>
    <w:p>
      <w:pPr>
        <w:spacing w:after="120"/>
      </w:pPr>
      <w:r>
        <w:rPr>
          <w:rFonts w:ascii="Arial" w:cs="Arial" w:eastAsia="Arial" w:hAnsi="Arial"/>
          <w:color w:val="1F2937"/>
          <w:sz w:val="20"/>
          <w:szCs w:val="20"/>
        </w:rPr>
        <w:t xml:space="preserve"/>
      </w:r>
    </w:p>
    <w:p>
      <w:pPr>
        <w:spacing w:after="120" w:before="300"/>
      </w:pPr>
      <w:r>
        <w:rPr>
          <w:rFonts w:ascii="Arial" w:cs="Arial" w:eastAsia="Arial" w:hAnsi="Arial"/>
          <w:b/>
          <w:bCs/>
          <w:color w:val="1F2937"/>
          <w:sz w:val="26"/>
          <w:szCs w:val="26"/>
        </w:rPr>
        <w:t xml:space="preserve">5. Próximos passos</w:t>
      </w:r>
    </w:p>
    <w:p>
      <w:pPr>
        <w:pStyle w:val="ListParagraph"/>
        <w:numPr>
          <w:ilvl w:val="0"/>
          <w:numId w:val="2"/>
        </w:numPr>
        <w:spacing w:after="80"/>
      </w:pPr>
      <w:r>
        <w:rPr>
          <w:rFonts w:ascii="Arial" w:cs="Arial" w:eastAsia="Arial" w:hAnsi="Arial"/>
          <w:color w:val="1F2937"/>
          <w:sz w:val="20"/>
          <w:szCs w:val="20"/>
        </w:rPr>
        <w:t xml:space="preserve">Receção dos acessos à loja e escolha do tema — permite iniciar de imediato a montagem da loja</w:t>
      </w:r>
    </w:p>
    <w:p>
      <w:pPr>
        <w:pStyle w:val="ListParagraph"/>
        <w:numPr>
          <w:ilvl w:val="0"/>
          <w:numId w:val="2"/>
        </w:numPr>
        <w:spacing w:after="80"/>
      </w:pPr>
      <w:r>
        <w:rPr>
          <w:rFonts w:ascii="Arial" w:cs="Arial" w:eastAsia="Arial" w:hAnsi="Arial"/>
          <w:color w:val="1F2937"/>
          <w:sz w:val="20"/>
          <w:szCs w:val="20"/>
        </w:rPr>
        <w:t xml:space="preserve">Resposta do parceiro PHC às questões técnicas — permite iniciar o desenvolvimento do sincronizador</w:t>
      </w:r>
    </w:p>
    <w:p>
      <w:pPr>
        <w:pStyle w:val="ListParagraph"/>
        <w:numPr>
          <w:ilvl w:val="0"/>
          <w:numId w:val="2"/>
        </w:numPr>
        <w:spacing w:after="80"/>
      </w:pPr>
      <w:r>
        <w:rPr>
          <w:rFonts w:ascii="Arial" w:cs="Arial" w:eastAsia="Arial" w:hAnsi="Arial"/>
          <w:color w:val="1F2937"/>
          <w:sz w:val="20"/>
          <w:szCs w:val="20"/>
        </w:rPr>
        <w:t xml:space="preserve">Envio dos dados da empresa — permite ativar os pagamentos</w:t>
      </w:r>
    </w:p>
    <w:p>
      <w:pPr>
        <w:spacing w:after="120"/>
      </w:pPr>
      <w:r>
        <w:rPr>
          <w:rFonts w:ascii="Arial" w:cs="Arial" w:eastAsia="Arial" w:hAnsi="Arial"/>
          <w:i/>
          <w:iCs/>
          <w:color w:val="1F2937"/>
          <w:sz w:val="20"/>
          <w:szCs w:val="20"/>
        </w:rPr>
        <w:t xml:space="preserve">Com estes elementos reunidos, a Loop Future tem condições para avançar com a montagem e a integração em paralelo, mantendo o objetivo de disponibilizar a loja no mais curto prazo possível.</w:t>
      </w:r>
    </w:p>
    <w:p>
      <w:pPr>
        <w:spacing w:before="300"/>
      </w:pPr>
      <w:r>
        <w:rPr>
          <w:rFonts w:ascii="Arial" w:cs="Arial" w:eastAsia="Arial" w:hAnsi="Arial"/>
          <w:i/>
          <w:iCs/>
          <w:color w:val="6B7280"/>
          <w:sz w:val="19"/>
          <w:szCs w:val="19"/>
        </w:rPr>
        <w:t xml:space="preserve">Loop Future</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2026-07-24T02:23:12.005Z</dcterms:created>
  <dcterms:modified xsi:type="dcterms:W3CDTF">2026-07-24T02:23:12.009Z</dcterms:modified>
</cp:coreProperties>
</file>

<file path=docProps/custom.xml><?xml version="1.0" encoding="utf-8"?>
<Properties xmlns="http://schemas.openxmlformats.org/officeDocument/2006/custom-properties" xmlns:vt="http://schemas.openxmlformats.org/officeDocument/2006/docPropsVTypes"/>
</file>