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Calibri" w:cs="Calibri" w:eastAsia="Calibri" w:hAnsi="Calibri"/>
          <w:b/>
          <w:bCs/>
          <w:color w:val="1F2A44"/>
          <w:sz w:val="44"/>
          <w:szCs w:val="44"/>
        </w:rPr>
        <w:t xml:space="preserve">Integração PHC CS ↔ Shopify</w:t>
      </w:r>
    </w:p>
    <w:p>
      <w:pPr>
        <w:spacing w:after="60"/>
      </w:pPr>
      <w:r>
        <w:rPr>
          <w:rFonts w:ascii="Calibri" w:cs="Calibri" w:eastAsia="Calibri" w:hAnsi="Calibri"/>
          <w:color w:val="00A99D"/>
          <w:sz w:val="28"/>
          <w:szCs w:val="28"/>
        </w:rPr>
        <w:t xml:space="preserve">Aromas da Tarde — Relatório de Progresso</w:t>
      </w:r>
    </w:p>
    <w:p>
      <w:pPr>
        <w:spacing w:after="3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20 de julho de 2026  ·  Preparado por: António Sousa (Loop Future)  ·  Estado: ligação validada, em desenvolvimento</w:t>
      </w:r>
    </w:p>
    <w:p>
      <w:pPr>
        <w:pStyle w:val="Heading1"/>
        <w:pBdr>
          <w:bottom w:val="single" w:color="00A99D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1. Sumário Executivo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integração entre o ERP PHC CS da Aromas da Tarde (gerido pela Expand Target) e a futura loja Shopify de venda a consumidor final arrancou formalmente após a reunião de 16 de julho. Nos dias seguintes foi estabelecida e validada a ligação à base de dados, efetuado o levantamento completo do catálogo e da estrutura de encomendas, e produzido o desenho de mapeamento de dados. O projeto está dentro do previsto e sem bloqueadores técnicos do lado Loop.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Destaque: </w:t>
      </w:r>
      <w:r>
        <w:rPr>
          <w:rFonts w:ascii="Calibri" w:cs="Calibri" w:eastAsia="Calibri" w:hAnsi="Calibri"/>
          <w:sz w:val="22"/>
          <w:szCs w:val="22"/>
        </w:rPr>
        <w:t xml:space="preserve">descobrimos que o PHC da Aromas da Tarde já recebe encomendas web do portal B2B atual através de um dossier próprio ("Encomenda Web"), com 362 documentos reais. Isto reduz significativamente o risco da fase de inserção de encomendas, pois passamos a dispor de exemplos vivos do formato correto.</w:t>
      </w:r>
    </w:p>
    <w:p>
      <w:pPr>
        <w:pStyle w:val="Heading1"/>
        <w:pBdr>
          <w:bottom w:val="single" w:color="00A99D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2. Trabalho Realizado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A99D"/>
          <w:sz w:val="24"/>
          <w:szCs w:val="24"/>
        </w:rPr>
        <w:t xml:space="preserve">2.1 Acessos e ligação à base de dados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Credenciais de leitura recebidas da Expand Target (utilizador dedicado, base de dados de produção).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Ligação validada ao servidor SQL Server 2019 da Expand Target; confirmada a edição Express (limite de 10 GB por base de dados — relevante para conversas futuras sobre capacidade).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Criada ferramenta interna de consulta que aceita exclusivamente operações de leitura (SELECT), como salvaguarda adicional sobre a base de dados real.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Credenciais armazenadas fora do controlo de versões, segundo as boas práticas de segurança da Loop.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A99D"/>
          <w:sz w:val="24"/>
          <w:szCs w:val="24"/>
        </w:rPr>
        <w:t xml:space="preserve">2.2 Levantamento do catálogo de artigos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Análise integral dos artigos marcados para publicação web: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Artigos publicáveis na web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4 152 (de 6 097 artigos no total)</w:t>
            </w:r>
          </w:p>
        </w:tc>
      </w:tr>
      <w:tr>
        <w:tc>
          <w:tcPr>
            <w:tcW w:type="dxa" w:w="468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Famílias de produto</w:t>
            </w:r>
          </w:p>
        </w:tc>
        <w:tc>
          <w:tcPr>
            <w:tcW w:type="dxa" w:w="468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27 (Rum, Tequila, Whisky, …)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Artigos com imagem associada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4 134 (99,6%)</w:t>
            </w:r>
          </w:p>
        </w:tc>
      </w:tr>
      <w:tr>
        <w:tc>
          <w:tcPr>
            <w:tcW w:type="dxa" w:w="468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Artigos sem stock disponível</w:t>
            </w:r>
          </w:p>
        </w:tc>
        <w:tc>
          <w:tcPr>
            <w:tcW w:type="dxa" w:w="468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1 611 (~39%) — requer decisão do cliente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Artigos com preço a zero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84 — propor correção ou exclusão</w:t>
            </w:r>
          </w:p>
        </w:tc>
      </w:tr>
      <w:tr>
        <w:tc>
          <w:tcPr>
            <w:tcW w:type="dxa" w:w="468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Artigos sem código de barras</w:t>
            </w:r>
          </w:p>
        </w:tc>
        <w:tc>
          <w:tcPr>
            <w:tcW w:type="dxa" w:w="468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720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Regime de IVA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Preços registados sem IVA — o middleware soma sempre a taxa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A99D"/>
          <w:sz w:val="24"/>
          <w:szCs w:val="24"/>
        </w:rPr>
        <w:t xml:space="preserve">2.3 Estrutura de encomendas e clientes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Dossier "Encomenda Web" já em produção: </w:t>
      </w:r>
      <w:r>
        <w:rPr>
          <w:rFonts w:ascii="Calibri" w:cs="Calibri" w:eastAsia="Calibri" w:hAnsi="Calibri"/>
          <w:sz w:val="22"/>
          <w:szCs w:val="22"/>
        </w:rPr>
        <w:t xml:space="preserve">362 encomendas inseridas pelo portal B2B atual (a mais recente do próprio dia da análise). Estrutura de cabeçalho e linhas documentada a partir de exemplos reais.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Base de clientes: 1 633 registos (empresas B2B). A venda a consumidor final exigirá definição da estratégia de criação de clientes.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Tabelas de faturação identificadas mas fora de âmbito, conforme decidido: a faturação permanece manual do lado da Aromas da Tarde.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A99D"/>
          <w:sz w:val="24"/>
          <w:szCs w:val="24"/>
        </w:rPr>
        <w:t xml:space="preserve">2.4 Desenho da integração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Mapeamento campo a campo artigo PHC → produto Shopify concluído em draft (título, famílias → coleções, preço com IVA, stock, etiquetas novo/novidade/festivo, referência como chave de sincronização).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Regras de proteção definidas: nunca eliminar produtos na loja sem confirmação; artigos com preço a zero excluídos do sync; política de inventário "não vender abaixo de zero".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Catálogo completo exportado (CSV com preços finais c/ IVA) para apoiar a construção do tema e das coleções da loja.</w:t>
      </w:r>
    </w:p>
    <w:p>
      <w:pPr>
        <w:pStyle w:val="Heading1"/>
        <w:pBdr>
          <w:bottom w:val="single" w:color="00A99D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3. Elementos Necessários para Continuar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 quem</w:t>
            </w:r>
          </w:p>
        </w:tc>
        <w:tc>
          <w:tcPr>
            <w:tcW w:type="dxa" w:w="726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é preciso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Expand Target (Vitor)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1) Confirmar se as encomendas Shopify reutilizam o dossier "Encomenda Web" ou se é criado um tipo novo; 2) regras de geração de chaves internas (stamps) e numeração sem colisões; 3) estratégia para clientes de consumo final (registo individual vs. cliente genérico); 4) campos obrigatórios e eventuais triggers na inserção; 5) forma de acesso aos ficheiros de imagem dos artigos.</w:t>
            </w:r>
          </w:p>
        </w:tc>
      </w:tr>
      <w:tr>
        <w:tc>
          <w:tcPr>
            <w:tcW w:type="dxa" w:w="21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Aromas da Tarde (Jorge)</w:t>
            </w:r>
          </w:p>
        </w:tc>
        <w:tc>
          <w:tcPr>
            <w:tcW w:type="dxa" w:w="726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1) Artigos esgotados: mostrar como "esgotado" ou ocultar da loja (1 611 artigos)? 2) Os 84 artigos com preço a zero: corrigir no PHC ou excluir da loja?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Loop (Miguel)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1) Criação da loja Shopify (plano ~29 €/mês + tema) e acessos de API para a equipa técnica; 2) alinhamento da configuração fiscal da loja (evitar dupla aplicação de IVA).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pBdr>
          <w:bottom w:val="single" w:color="00A99D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4. Próximos Passos (lado Loop, sem dependências)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Desenvolvimento do esqueleto do middleware de sincronização (Node/TypeScript), com o primeiro sync de artigos em modo de simulação — sem qualquer escrita no PHC nem dependência da loja Shopify.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Envio das questões técnicas consolidadas à Expand Target.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Assim que a loja exista: ligação do sync de artigos e carregamento inicial do catálogo.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Compromisso de segurança: </w:t>
      </w:r>
      <w:r>
        <w:rPr>
          <w:rFonts w:ascii="Calibri" w:cs="Calibri" w:eastAsia="Calibri" w:hAnsi="Calibri"/>
          <w:sz w:val="22"/>
          <w:szCs w:val="22"/>
        </w:rPr>
        <w:t xml:space="preserve">até validação conjunta com a Expand Target, a Loop executa exclusivamente operações de leitura sobre a base de dados de produção.</w:t>
      </w:r>
    </w:p>
    <w:sectPr>
      <w:headerReference w:type="default" r:id="rId7"/>
      <w:footerReference w:type="default" r:id="rId8"/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360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Loop Future · Confidencial — Aromas da Tarde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6B72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2A44" w:sz="8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1F2A44"/>
        <w:sz w:val="26"/>
        <w:szCs w:val="26"/>
      </w:rPr>
      <w:t xml:space="preserve">LOOP</w:t>
    </w:r>
    <w:r>
      <w:rPr>
        <w:rFonts w:ascii="Calibri" w:cs="Calibri" w:eastAsia="Calibri" w:hAnsi="Calibri"/>
        <w:b/>
        <w:bCs/>
        <w:color w:val="00A99D"/>
        <w:sz w:val="26"/>
        <w:szCs w:val="26"/>
      </w:rPr>
      <w:t xml:space="preserve"> FUTURE</w:t>
    </w:r>
    <w:r>
      <w:rPr>
        <w:rFonts w:ascii="Calibri" w:cs="Calibri" w:eastAsia="Calibri" w:hAnsi="Calibri"/>
        <w:color w:val="6B7280"/>
        <w:sz w:val="18"/>
        <w:szCs w:val="18"/>
      </w:rPr>
      <w:t xml:space="preserve">	Relatório de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2026-07-20T17:19:25.886Z</dcterms:created>
  <dcterms:modified xsi:type="dcterms:W3CDTF">2026-07-20T17:19:25.889Z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