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rFonts w:ascii="Calibri" w:cs="Calibri" w:eastAsia="Calibri" w:hAnsi="Calibri"/>
          <w:b/>
          <w:bCs/>
          <w:color w:val="1F2A44"/>
          <w:sz w:val="38"/>
          <w:szCs w:val="38"/>
        </w:rPr>
        <w:t xml:space="preserve">Aromas da Tarde — Requisitos para avançar</w:t>
      </w:r>
    </w:p>
    <w:p>
      <w:pPr>
        <w:spacing w:after="60"/>
      </w:pPr>
      <w:r>
        <w:rPr>
          <w:rFonts w:ascii="Calibri" w:cs="Calibri" w:eastAsia="Calibri" w:hAnsi="Calibri"/>
          <w:color w:val="00A99D"/>
          <w:sz w:val="24"/>
          <w:szCs w:val="24"/>
        </w:rPr>
        <w:t xml:space="preserve">Documento consolidado — integração PHC e loja online</w:t>
      </w:r>
    </w:p>
    <w:p>
      <w:pPr>
        <w:spacing w:after="2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Loop Future · 24 de julho de 2026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Ponto de situação: </w:t>
      </w:r>
      <w:r>
        <w:rPr>
          <w:rFonts w:ascii="Calibri" w:cs="Calibri" w:eastAsia="Calibri" w:hAnsi="Calibri"/>
          <w:sz w:val="22"/>
          <w:szCs w:val="22"/>
        </w:rPr>
        <w:t xml:space="preserve">a ligação à base de dados do PHC da Aromas da Tarde está estabelecida e validada. O catálogo completo já é lido automaticamente — 4 152 artigos publicáveis, com famílias, preços (IVA calculado) e stocks — e existe uma pré-visualização da loja com os produtos reais, disponível para apresentação. Este documento consolida tudo o que falta para avançar, por responsável.</w:t>
      </w:r>
    </w:p>
    <w:p>
      <w:pPr>
        <w:pStyle w:val="Heading1"/>
        <w:pBdr>
          <w:bottom w:val="single" w:color="00A99D" w:sz="12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2A44"/>
          <w:sz w:val="28"/>
          <w:szCs w:val="28"/>
        </w:rPr>
        <w:t xml:space="preserve">1. Loja Shopify — tema e acessos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Conforme combinado, o passo seguinte é entrar na loja Shopify da Aromas da Tarde, escolher o tema e partilhar os acessos com a Loop.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Escolher o tema na Theme Store, dentro da própria loja.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Atenção: </w:t>
      </w:r>
      <w:r>
        <w:rPr>
          <w:rFonts w:ascii="Calibri" w:cs="Calibri" w:eastAsia="Calibri" w:hAnsi="Calibri"/>
          <w:sz w:val="22"/>
          <w:szCs w:val="22"/>
        </w:rPr>
        <w:t xml:space="preserve">no Shopify, "selecionar" ou "experimentar" um tema é diferente de o comprar. Se o tema escolhido for pago, a compra é um pagamento único cobrado na conta Shopify da loja — e só depois é possível aplicar o design.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Enviar convite de acesso à loja (Administração → Utilizadores) para a equipa técnica da Loop.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Com o tema definido e os acessos atribuídos, inicia-se de imediato a montagem da loja e o carregamento do catálogo vindo do PHC.</w:t>
      </w:r>
    </w:p>
    <w:p>
      <w:pPr>
        <w:pStyle w:val="Heading1"/>
        <w:pBdr>
          <w:bottom w:val="single" w:color="00A99D" w:sz="12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2A44"/>
          <w:sz w:val="28"/>
          <w:szCs w:val="28"/>
        </w:rPr>
        <w:t xml:space="preserve">2. Domínio — ligação à loja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O domínio da Aromas da Tarde já está adquirido (gerido em dominios.pt). Não são necessários acessos: bastam dois registos DNS no painel.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Entrar em dominios.pt → área de cliente → gestão do domínio → zona DNS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Adicionar registo tipo A, com nome/host vazio (ou @) e valor 23.227.38.65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Adicionar registo tipo CNAME, com nome/host www e valor shops.myshopify.com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Caso existam registos A ou CNAME antigos nesses dois nomes, remover primeiro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Em alternativa, basta enviar uma captura de ecrã da zona DNS e a Loop indica exatamente o que alterar. Depois de gravado, a Loop confirma a ligação e o certificado de segurança do lado do Shopify. Nada disto afeta o email ou outros serviços associados ao domínio.</w:t>
      </w:r>
    </w:p>
    <w:p>
      <w:pPr>
        <w:pStyle w:val="Heading1"/>
        <w:pBdr>
          <w:bottom w:val="single" w:color="00A99D" w:sz="12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2A44"/>
          <w:sz w:val="28"/>
          <w:szCs w:val="28"/>
        </w:rPr>
        <w:t xml:space="preserve">3. Seleção de artigos para a loja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Ficou definido que entram na loja apenas os artigos com o campo de seleção marcado na ficha de artigo do PHC.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 lado da Aromas da Tarde: </w:t>
      </w:r>
      <w:r>
        <w:rPr>
          <w:rFonts w:ascii="Calibri" w:cs="Calibri" w:eastAsia="Calibri" w:hAnsi="Calibri"/>
          <w:sz w:val="22"/>
          <w:szCs w:val="22"/>
        </w:rPr>
        <w:t xml:space="preserve">garantir que os artigos a vender online têm esse campo marcado — é o interruptor que os coloca (ou retira) da loja.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 lado da Expand: </w:t>
      </w:r>
      <w:r>
        <w:rPr>
          <w:rFonts w:ascii="Calibri" w:cs="Calibri" w:eastAsia="Calibri" w:hAnsi="Calibri"/>
          <w:sz w:val="22"/>
          <w:szCs w:val="22"/>
        </w:rPr>
        <w:t xml:space="preserve">confirmação técnica de qual o campo da base de dados corresponde a essa marcação, para o filtro da sincronização ficar alinhado com a operação.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Artigos esgotados: conforme indicado, não aparecem na loja. Caso se prefira mostrá-los como "esgotado", a alteração é simples e sem custo.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Os 84 artigos com preço a zero (na maioria, artigos antigos herdados da migração de software) ficam automaticamente de fora. Um artigo novo sem preço passa a constar assim que o preço for preenchido no PHC.</w:t>
      </w:r>
    </w:p>
    <w:p>
      <w:pPr>
        <w:pStyle w:val="Heading1"/>
        <w:pBdr>
          <w:bottom w:val="single" w:color="00A99D" w:sz="12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2A44"/>
          <w:sz w:val="28"/>
          <w:szCs w:val="28"/>
        </w:rPr>
        <w:t xml:space="preserve">4. Elementos técnicos a fornecer pela Expand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Pedido já entregue; fica aqui consolidado por ordem de prioridade.</w:t>
      </w: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24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Porquê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Acesso às fotografias dos artigos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 imagens residem no PHC como ficheiros associados a cada artigo (99,6% dos artigos têm imagem). Sem a forma de acesso a esses ficheiros, as fichas de produto ficam sem fotografia. É o item mais urgente.</w:t>
            </w:r>
          </w:p>
        </w:tc>
      </w:tr>
      <w:tr>
        <w:tc>
          <w:tcPr>
            <w:tcW w:type="dxa" w:w="312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Regras de inserção de encomendas</w:t>
            </w:r>
          </w:p>
        </w:tc>
        <w:tc>
          <w:tcPr>
            <w:tcW w:type="dxa" w:w="624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Confirmar se as encomendas da loja entram no mesmo tipo de documento já usado pelo portal atual ou num novo, e quais as regras de identificadores, numeração e campos obrigatórios.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Clientes de consumo final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Definir se cada comprador origina um registo próprio de cliente ou se é usado um cliente genérico com os dados de entrega na encomenda.</w:t>
            </w:r>
          </w:p>
        </w:tc>
      </w:tr>
      <w:tr>
        <w:tc>
          <w:tcPr>
            <w:tcW w:type="dxa" w:w="312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Campo de seleção de artigos</w:t>
            </w:r>
          </w:p>
        </w:tc>
        <w:tc>
          <w:tcPr>
            <w:tcW w:type="dxa" w:w="624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Confirmação técnica referida no ponto 3.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Ambiente de testes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Para validar a inserção de encomendas antes de passar a produção. Até essa validação, a Loop mantém apenas operações de leitura sobre a base de dados.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pBdr>
          <w:bottom w:val="single" w:color="00A99D" w:sz="12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2A44"/>
          <w:sz w:val="28"/>
          <w:szCs w:val="28"/>
        </w:rPr>
        <w:t xml:space="preserve">5. Pagamentos (Shopify Payments)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Para ativar os pagamentos na loja são necessários os seguintes dados da empresa. Podem ser enviados por email; nenhum destes elementos é uma palavra-passe.</w:t>
      </w: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</w:tblPr>
      <w:tblGrid>
        <w:gridCol w:w="1900"/>
        <w:gridCol w:w="4380"/>
        <w:gridCol w:w="3080"/>
      </w:tblGrid>
      <w:tr>
        <w:trPr>
          <w:tblHeader/>
        </w:trPr>
        <w:tc>
          <w:tcPr>
            <w:tcW w:type="dxa" w:w="190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Bloco</w:t>
            </w:r>
          </w:p>
        </w:tc>
        <w:tc>
          <w:tcPr>
            <w:tcW w:type="dxa" w:w="438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Dados</w:t>
            </w:r>
          </w:p>
        </w:tc>
        <w:tc>
          <w:tcPr>
            <w:tcW w:type="dxa" w:w="308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 quê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Empresa</w:t>
            </w:r>
          </w:p>
        </w:tc>
        <w:tc>
          <w:tcPr>
            <w:tcW w:type="dxa" w:w="4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Denominação legal, NIF, morada da sede</w:t>
            </w:r>
          </w:p>
        </w:tc>
        <w:tc>
          <w:tcPr>
            <w:tcW w:type="dxa" w:w="3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Registo no processador de pagamentos</w:t>
            </w:r>
          </w:p>
        </w:tc>
      </w:tr>
      <w:tr>
        <w:tc>
          <w:tcPr>
            <w:tcW w:type="dxa" w:w="19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Representante</w:t>
            </w:r>
          </w:p>
        </w:tc>
        <w:tc>
          <w:tcPr>
            <w:tcW w:type="dxa" w:w="438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Nome completo, data de nascimento, morada e documento de identificação do representante legal</w:t>
            </w:r>
          </w:p>
        </w:tc>
        <w:tc>
          <w:tcPr>
            <w:tcW w:type="dxa" w:w="308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Verificação de identidade (obrigatória)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Banco</w:t>
            </w:r>
          </w:p>
        </w:tc>
        <w:tc>
          <w:tcPr>
            <w:tcW w:type="dxa" w:w="4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IBAN da conta que recebe as vendas</w:t>
            </w:r>
          </w:p>
        </w:tc>
        <w:tc>
          <w:tcPr>
            <w:tcW w:type="dxa" w:w="3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Depósitos das vendas</w:t>
            </w:r>
          </w:p>
        </w:tc>
      </w:tr>
      <w:tr>
        <w:tc>
          <w:tcPr>
            <w:tcW w:type="dxa" w:w="19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Métodos</w:t>
            </w:r>
          </w:p>
        </w:tc>
        <w:tc>
          <w:tcPr>
            <w:tcW w:type="dxa" w:w="438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Confirmar os métodos a disponibilizar: cartão e Multibanco (nativos); MB WAY pode ficar para fase posterior</w:t>
            </w:r>
          </w:p>
        </w:tc>
        <w:tc>
          <w:tcPr>
            <w:tcW w:type="dxa" w:w="308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Métodos visíveis no checkout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Nota: </w:t>
      </w:r>
      <w:r>
        <w:rPr>
          <w:rFonts w:ascii="Calibri" w:cs="Calibri" w:eastAsia="Calibri" w:hAnsi="Calibri"/>
          <w:sz w:val="22"/>
          <w:szCs w:val="22"/>
        </w:rPr>
        <w:t xml:space="preserve">por se tratar de venda de bebidas alcoólicas, o processador pode solicitar verificação adicional da atividade — quanto mais cedo forem submetidos os dados, maior a margem.</w:t>
      </w:r>
    </w:p>
    <w:p>
      <w:pPr>
        <w:pStyle w:val="Heading1"/>
        <w:pBdr>
          <w:bottom w:val="single" w:color="00A99D" w:sz="12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2A44"/>
          <w:sz w:val="28"/>
          <w:szCs w:val="28"/>
        </w:rPr>
        <w:t xml:space="preserve">6. O que já está garantido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Integração com o PHC validada, com leitura automática do catálogo (4 152 artigos), preços com IVA e stocks.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Domínio da Aromas da Tarde adquirido.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Sincronização diária definida para o período noturno, sem custos adicionais de servidor.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Encomendas da loja entram no PHC automaticamente; a faturação mantém-se do lado da Aromas da Tarde, como hoje.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Pré-visualização da loja com o catálogo real, disponível para apresentação.</w:t>
      </w:r>
    </w:p>
    <w:p>
      <w:pPr>
        <w:pStyle w:val="Heading1"/>
        <w:pBdr>
          <w:bottom w:val="single" w:color="00A99D" w:sz="12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2A44"/>
          <w:sz w:val="28"/>
          <w:szCs w:val="28"/>
        </w:rPr>
        <w:t xml:space="preserve">Resumo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Com o tema e os acessos da loja, mais os registos DNS do domínio, a montagem avança de imediato. Em paralelo seguem os dados de pagamentos e, do lado da Expand, o acesso às fotografias e a confirmação do campo de seleção de artigos. Do lado da Loop, a integração com o PHC está pronta a encaixar assim que estes pontos chegarem.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Loop Future</w:t>
      </w:r>
    </w:p>
    <w:sectPr>
      <w:headerReference w:type="default" r:id="rId7"/>
      <w:footerReference w:type="default" r:id="rId8"/>
      <w:pgSz w:w="11906" w:h="16838" w:orient="portrait"/>
      <w:pgMar w:top="1134" w:right="1273" w:bottom="1134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4" w:space="4"/>
      </w:pBdr>
      <w:tabs>
        <w:tab w:val="right" w:pos="9360"/>
      </w:tabs>
    </w:pPr>
    <w:r>
      <w:rPr>
        <w:rFonts w:ascii="Calibri" w:cs="Calibri" w:eastAsia="Calibri" w:hAnsi="Calibri"/>
        <w:color w:val="6B7280"/>
        <w:sz w:val="16"/>
        <w:szCs w:val="16"/>
      </w:rPr>
      <w:t xml:space="preserve">Loop Future · Confidencial — Aromas da Tarde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6B7280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2A44" w:sz="8" w:space="4"/>
      </w:pBdr>
      <w:tabs>
        <w:tab w:val="right" w:pos="9360"/>
      </w:tabs>
    </w:pPr>
    <w:r>
      <w:rPr>
        <w:rFonts w:ascii="Calibri" w:cs="Calibri" w:eastAsia="Calibri" w:hAnsi="Calibri"/>
        <w:b/>
        <w:bCs/>
        <w:color w:val="1F2A44"/>
        <w:sz w:val="26"/>
        <w:szCs w:val="26"/>
      </w:rPr>
      <w:t xml:space="preserve">LOOP</w:t>
    </w:r>
    <w:r>
      <w:rPr>
        <w:rFonts w:ascii="Calibri" w:cs="Calibri" w:eastAsia="Calibri" w:hAnsi="Calibri"/>
        <w:b/>
        <w:bCs/>
        <w:color w:val="00A99D"/>
        <w:sz w:val="26"/>
        <w:szCs w:val="26"/>
      </w:rPr>
      <w:t xml:space="preserve"> FUTURE</w:t>
    </w:r>
    <w:r>
      <w:rPr>
        <w:rFonts w:ascii="Calibri" w:cs="Calibri" w:eastAsia="Calibri" w:hAnsi="Calibri"/>
        <w:color w:val="6B7280"/>
        <w:sz w:val="18"/>
        <w:szCs w:val="18"/>
      </w:rPr>
      <w:t xml:space="preserve">	Aromas da Tarde — Loja Online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2026-07-24T02:22:21.537Z</dcterms:created>
  <dcterms:modified xsi:type="dcterms:W3CDTF">2026-07-24T02:22:21.541Z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