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㈜듀셀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이민우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1.44%</w:t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경기도 성남시 분당구 대왕판교로 660, 30호(삼평동, 유스페이스1)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1,000,000,378원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>
              <w:rPr>
                <w:color w:val="FF0000"/>
                <w:sz w:val="16"/>
              </w:rPr>
              <w:br/>
              <w:t>⚠ 불일치: 투심보고서=500,010,000원, 투자계약서=1,000,000,378원. 확인 필요.</w:t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6,214원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>
              <w:rPr>
                <w:color w:val="FF0000"/>
                <w:sz w:val="16"/>
              </w:rPr>
              <w:br/>
              <w:t>⚠ 불일치: 투심보고서=6,215원, 투자계약서=6,214원. 확인 필요.</w:t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160,927주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1.44%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존속기간: 10년</w:t>
              <w:br/>
              <w:t>상환조건: 투자 3년후부터 연복리 5%로 상환청구가능</w:t>
              <w:br/>
              <w:t>전환조건: 존속기간 이후 보통주 자동 전환, 우선주 1주당 보통주 1주로 전환</w:t>
              <w:br/>
              <w:t>Refixing: IPO/M&amp;A 70%</w:t>
              <w:br/>
              <w:t>이해관계인의 주식 처분시 투자자의 우선매수권, 공동매도참여권</w:t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생산시설 인수 및 연구장비 투자, 연구개발비, 운영자금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제12조: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제2조: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제12조: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제12조: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제2조: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㈜듀셀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1,000,000,378원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6,214원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