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㈜테라릭스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㈜테라릭스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김태영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전라북도 부안군 하서면 신재생에너지로 28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㈜테라릭스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1,000,004,999원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16,849원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59,351주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 10년</w:t>
              <w:br/>
              <w:t>상환조건: 투자 3년후부터 연복리 5%로 상환청구가능</w:t>
              <w:br/>
              <w:t>전환조건: 발행일 익일부터 만기까지, 존속기간 이후 보통주 자동 전환, 우선주 1주당 보통주 1주로 전환</w:t>
              <w:br/>
              <w:t>Refixing: IPO/M&amp;A 70%, 투자단가 이하 유상증자 등</w:t>
              <w:br/>
              <w:t>이해관계인의 주식 처분시 투자자의 우선매수권, 공동매도참여권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운용자금 및 시설자금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주식매수청구권 : 투자원금 및 연 12%</w:t>
              <w:br/>
              <w:t>위약벌 : 투자원금의 12%</w:t>
              <w:br/>
              <w:t>지연배상금 : 실제 지급일까지 연 12%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㈜테라릭스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㈜테라릭스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㈜테라릭스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상환전환우선주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1,000,004,999원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16,849원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