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bookmarkStart w:name="_headingh.gjdgxs" w:id="0"/>
      <w:bookmarkEnd w:id="0"/>
      <w:r>
        <w:rPr>
          <w:u w:val="single"/>
          <w:rtl w:val="0"/>
        </w:rPr>
        <w:t>F</w:t>
      </w:r>
      <w:r>
        <w:rPr>
          <w:u w:val="single"/>
          <w:rtl w:val="0"/>
          <w:lang w:val="en-US"/>
        </w:rPr>
        <w:t>alse Positive Documentation</w:t>
      </w:r>
    </w:p>
    <w:p>
      <w:pPr>
        <w:pStyle w:val="Body A"/>
      </w:pPr>
      <w:r>
        <w:rPr>
          <w:rtl w:val="0"/>
          <w:lang w:val="en-US"/>
        </w:rPr>
        <w:t>Kindly provide the answers for the following queries regarding the vulnerability.</w:t>
      </w: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Name of the Application </w:t>
      </w:r>
    </w:p>
    <w:p>
      <w:pPr>
        <w:pStyle w:val="Body A"/>
        <w:ind w:left="720" w:firstLine="0"/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SetupAI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Package ID/Version ID/Listing ID</w:t>
      </w:r>
    </w:p>
    <w:p>
      <w:pPr>
        <w:pStyle w:val="Body A"/>
        <w:ind w:left="720" w:firstLine="0"/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81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n-US"/>
              </w:rPr>
              <w:t>04tDp000000qTPqIAM</w:t>
            </w:r>
            <w:r>
              <w:rPr>
                <w:rFonts w:ascii="Arial" w:cs="Arial" w:hAnsi="Arial" w:eastAsia="Arial"/>
                <w:shd w:val="clear" w:color="auto" w:fill="ffffff"/>
              </w:rPr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Partner Name</w:t>
      </w:r>
    </w:p>
    <w:p>
      <w:pPr>
        <w:pStyle w:val="Body A"/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SetupAI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Document Filing Date </w:t>
      </w:r>
      <w:r>
        <w:rPr>
          <w:sz w:val="18"/>
          <w:szCs w:val="18"/>
          <w:rtl w:val="0"/>
        </w:rPr>
        <w:t xml:space="preserve">(YYYY-MM-DD) </w:t>
      </w:r>
    </w:p>
    <w:p>
      <w:pPr>
        <w:pStyle w:val="Body A"/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202</w:t>
            </w:r>
            <w:r>
              <w:rPr>
                <w:shd w:val="nil" w:color="auto" w:fill="auto"/>
                <w:rtl w:val="0"/>
                <w:lang w:val="en-US"/>
              </w:rPr>
              <w:t>4-1-2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Target URL </w:t>
      </w:r>
      <w:r>
        <w:rPr>
          <w:sz w:val="18"/>
          <w:szCs w:val="18"/>
          <w:rtl w:val="0"/>
          <w:lang w:val="en-US"/>
        </w:rPr>
        <w:t xml:space="preserve">(Optional) </w:t>
      </w:r>
    </w:p>
    <w:p>
      <w:pPr>
        <w:pStyle w:val="Body A"/>
        <w:ind w:left="720" w:firstLine="0"/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 xml:space="preserve">Review Date </w:t>
      </w:r>
      <w:r>
        <w:rPr>
          <w:outline w:val="0"/>
          <w:color w:val="333333"/>
          <w:sz w:val="18"/>
          <w:szCs w:val="1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(In Case if app already undergone security review)</w:t>
      </w:r>
    </w:p>
    <w:p>
      <w:pPr>
        <w:pStyle w:val="Body A"/>
        <w:ind w:left="720" w:firstLine="0"/>
      </w:pPr>
    </w:p>
    <w:p>
      <w:pPr>
        <w:pStyle w:val="Body A"/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4"/>
        <w:jc w:val="center"/>
      </w:pPr>
      <w:bookmarkStart w:name="_headingh.30j0zll" w:id="1"/>
      <w:bookmarkEnd w:id="1"/>
      <w:r>
        <w:rPr>
          <w:rtl w:val="0"/>
          <w:lang w:val="en-US"/>
        </w:rPr>
        <w:t>R</w:t>
      </w:r>
      <w:r>
        <w:rPr>
          <w:rtl w:val="0"/>
          <w:lang w:val="en-US"/>
        </w:rPr>
        <w:t>epeat Step 6 to 9 in case of multiple Vulnerability</w:t>
      </w:r>
    </w:p>
    <w:p>
      <w:pPr>
        <w:pStyle w:val="Body A"/>
      </w:pP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Vulnerability Name</w:t>
      </w:r>
    </w:p>
    <w:p>
      <w:pPr>
        <w:pStyle w:val="Body A"/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Validate CRUD permission before SOQL/DML operation or enforce user mode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</w:pPr>
    </w:p>
    <w:p>
      <w:pPr>
        <w:pStyle w:val="Body A"/>
        <w:rPr>
          <w:u w:val="single"/>
        </w:rPr>
      </w:pPr>
    </w:p>
    <w:p>
      <w:pPr>
        <w:pStyle w:val="heading 4"/>
        <w:rPr>
          <w:i w:val="1"/>
          <w:iCs w:val="1"/>
          <w:outline w:val="0"/>
          <w:color w:val="6d9eeb"/>
          <w:sz w:val="22"/>
          <w:szCs w:val="22"/>
          <w:u w:val="single" w:color="6d9eeb"/>
          <w14:textFill>
            <w14:solidFill>
              <w14:srgbClr w14:val="6D9EEB"/>
            </w14:solidFill>
          </w14:textFill>
        </w:rPr>
      </w:pPr>
      <w:bookmarkStart w:name="_headingh.1fob9te" w:id="2"/>
      <w:bookmarkEnd w:id="2"/>
      <w:r>
        <w:rPr>
          <w:rFonts w:cs="Arial Unicode MS" w:eastAsia="Arial Unicode MS"/>
          <w:i w:val="1"/>
          <w:iCs w:val="1"/>
          <w:outline w:val="0"/>
          <w:color w:val="6d9eeb"/>
          <w:sz w:val="22"/>
          <w:szCs w:val="22"/>
          <w:u w:val="single" w:color="6d9eeb"/>
          <w:rtl w:val="0"/>
          <w:lang w:val="en-US"/>
          <w14:textFill>
            <w14:solidFill>
              <w14:srgbClr w14:val="6D9EEB"/>
            </w14:solidFill>
          </w14:textFill>
        </w:rPr>
        <w:t>M</w:t>
      </w:r>
      <w:r>
        <w:rPr>
          <w:rFonts w:cs="Arial Unicode MS" w:eastAsia="Arial Unicode MS"/>
          <w:i w:val="1"/>
          <w:iCs w:val="1"/>
          <w:outline w:val="0"/>
          <w:color w:val="6d9eeb"/>
          <w:sz w:val="22"/>
          <w:szCs w:val="22"/>
          <w:u w:val="single" w:color="6d9eeb"/>
          <w:rtl w:val="0"/>
          <w:lang w:val="en-US"/>
          <w14:textFill>
            <w14:solidFill>
              <w14:srgbClr w14:val="6D9EEB"/>
            </w14:solidFill>
          </w14:textFill>
        </w:rPr>
        <w:t>eant for the Internal Salesforce Security Team</w:t>
      </w:r>
    </w:p>
    <w:p>
      <w:pPr>
        <w:pStyle w:val="Body A"/>
        <w:rPr>
          <w:i w:val="1"/>
          <w:iCs w:val="1"/>
        </w:rPr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e5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outline w:val="0"/>
                <w:color w:val="6d9eeb"/>
                <w:u w:color="6d9eeb"/>
                <w:shd w:val="nil" w:color="auto" w:fill="auto"/>
                <w:rtl w:val="0"/>
                <w:lang w:val="en-US"/>
                <w14:textFill>
                  <w14:solidFill>
                    <w14:srgbClr w14:val="6D9EEB"/>
                  </w14:solidFill>
                </w14:textFill>
              </w:rPr>
              <w:t xml:space="preserve">Final Comment from Salesforce Team 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e5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outline w:val="0"/>
                <w:color w:val="6d9eeb"/>
                <w:u w:color="6d9eeb"/>
                <w:shd w:val="nil" w:color="auto" w:fill="auto"/>
                <w:rtl w:val="0"/>
                <w:lang w:val="en-US"/>
                <w14:textFill>
                  <w14:solidFill>
                    <w14:srgbClr w14:val="6D9EEB"/>
                  </w14:solidFill>
                </w14:textFill>
              </w:rPr>
              <w:t>Date of Review (YYYY-MM-DD)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e5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outline w:val="0"/>
                <w:color w:val="6d9eeb"/>
                <w:u w:color="6d9eeb"/>
                <w:shd w:val="nil" w:color="auto" w:fill="auto"/>
                <w:rtl w:val="0"/>
                <w:lang w:val="en-US"/>
                <w14:textFill>
                  <w14:solidFill>
                    <w14:srgbClr w14:val="6D9EEB"/>
                  </w14:solidFill>
                </w14:textFill>
              </w:rPr>
              <w:t xml:space="preserve">Result 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  <w:rPr>
          <w:i w:val="1"/>
          <w:iCs w:val="1"/>
        </w:rPr>
      </w:pPr>
    </w:p>
    <w:p>
      <w:pPr>
        <w:pStyle w:val="Body A"/>
        <w:widowControl w:val="0"/>
        <w:spacing w:line="240" w:lineRule="auto"/>
        <w:rPr>
          <w:i w:val="1"/>
          <w:i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Detected By</w:t>
      </w:r>
    </w:p>
    <w:p>
      <w:pPr>
        <w:pStyle w:val="Body A"/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95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numPr>
                <w:ilvl w:val="0"/>
                <w:numId w:val="10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Chimera</w:t>
            </w:r>
          </w:p>
          <w:p>
            <w:pPr>
              <w:pStyle w:val="Body A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PMD </w:t>
            </w:r>
          </w:p>
          <w:p>
            <w:pPr>
              <w:pStyle w:val="Body A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Security Review </w:t>
            </w:r>
          </w:p>
          <w:p>
            <w:pPr>
              <w:pStyle w:val="Body A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Others, </w:t>
            </w:r>
          </w:p>
          <w:p>
            <w:pPr>
              <w:pStyle w:val="Body A"/>
              <w:widowControl w:val="0"/>
              <w:spacing w:line="240" w:lineRule="auto"/>
              <w:ind w:left="72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72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If case of others Please provide details : Code Analyzer</w:t>
            </w:r>
            <w:r>
              <w:rPr>
                <w:shd w:val="nil" w:color="auto" w:fill="auto"/>
                <w:rtl w:val="0"/>
                <w:lang w:val="en-US"/>
              </w:rPr>
              <w:t xml:space="preserve"> and Checkmarx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5747893" cy="18424"/>
                      <wp:effectExtent l="0" t="0" r="0" b="0"/>
                      <wp:docPr id="1073741825" name="officeArt object" descr="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47893" cy="184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style="visibility:visible;width:452.6pt;height:1.5pt;">
                      <v:fill color="#A0A0A0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Detailed explanation for considering False Positive ( Elaborate as much as possible)</w:t>
      </w:r>
    </w:p>
    <w:p>
      <w:pPr>
        <w:pStyle w:val="Body A"/>
      </w:pPr>
    </w:p>
    <w:p>
      <w:pPr>
        <w:pStyle w:val="Body A"/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577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I have a custom CRUD class that contains methods for checking user CRUD access to the Chat__c and Message__c objects so that all field and object access can be checked more efficiently. </w:t>
            </w:r>
          </w:p>
          <w:p>
            <w:pPr>
              <w:pStyle w:val="Body A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The Code Analyzer picked up a violation on line 25 of Controller.cls where a new Message__c is inserted. This insert statement is inside an if statement on line 21 that checks CRUD access on both Chat and Message.</w:t>
            </w:r>
          </w:p>
          <w:p>
            <w:pPr>
              <w:pStyle w:val="Body A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2 more violations are on lines 42 and 43 of Controller.cls inserting a Chat__c and a Message__c. These are inside an if statement on line 40 checking CRUD access.</w:t>
            </w:r>
          </w:p>
          <w:p>
            <w:pPr>
              <w:pStyle w:val="Body A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Line 52 of Function.cls creates a Message__c record. This is inside a CRUD check if statement on line 51.</w:t>
            </w:r>
          </w:p>
          <w:p>
            <w:pPr>
              <w:pStyle w:val="Body A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Lastly, on line 43 of the CalloutSecurity class, there is an update on a SetupAI__Token_Usage__c record. This is a custom setting so this is a false positive.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__________________________________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Checkmarx detected 2 CRUD violations in the PostInstall class(the class that runs on package installation). Both of these are for the upsert of a default Custom Setting record(Token_Usage__c object). Since this class runs in system context and creates a single record that is required for the app to run, this is a false positive.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Evidence (screenshots of the code, implementation, Command Output)</w:t>
      </w:r>
    </w:p>
    <w:p>
      <w:pPr>
        <w:pStyle w:val="Body A"/>
      </w:pPr>
    </w:p>
    <w:p>
      <w:pPr>
        <w:pStyle w:val="Body A"/>
        <w:widowControl w:val="0"/>
        <w:spacing w:line="240" w:lineRule="auto"/>
        <w:rPr>
          <w:rFonts w:ascii="Courier New" w:cs="Courier New" w:hAnsi="Courier New" w:eastAsia="Courier New"/>
          <w:outline w:val="0"/>
          <w:color w:val="cccccc"/>
          <w:sz w:val="18"/>
          <w:szCs w:val="18"/>
          <w:u w:color="cccccc"/>
          <w:shd w:val="nil" w:color="auto" w:fill="auto"/>
          <w14:textFill>
            <w14:solidFill>
              <w14:srgbClr w14:val="CCCCCC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Controller.cls - lines 16-52</w:t>
      </w:r>
      <w:r>
        <w:rPr>
          <w:b w:val="1"/>
          <w:bCs w:val="1"/>
          <w:outline w:val="0"/>
          <w:color w:val="000000"/>
          <w:u w:color="000000"/>
          <w:shd w:val="nil" w:color="auto" w:fill="auto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800725" cy="6343650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343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widowControl w:val="0"/>
        <w:spacing w:line="240" w:lineRule="auto"/>
        <w:rPr>
          <w:shd w:val="nil" w:color="auto" w:fill="auto"/>
          <w:lang w:val="en-US"/>
        </w:rPr>
      </w:pPr>
    </w:p>
    <w:p>
      <w:pPr>
        <w:pStyle w:val="Body A"/>
        <w:widowControl w:val="0"/>
        <w:spacing w:line="240" w:lineRule="auto"/>
        <w:rPr>
          <w:shd w:val="nil" w:color="auto" w:fill="auto"/>
          <w:lang w:val="en-US"/>
        </w:rPr>
      </w:pPr>
    </w:p>
    <w:p>
      <w:pPr>
        <w:pStyle w:val="Body A"/>
        <w:widowControl w:val="0"/>
        <w:spacing w:line="240" w:lineRule="auto"/>
        <w:rPr>
          <w:shd w:val="nil" w:color="auto" w:fill="auto"/>
        </w:rPr>
      </w:pPr>
      <w:r>
        <w:rPr>
          <w:b w:val="1"/>
          <w:bCs w:val="1"/>
          <w:shd w:val="nil" w:color="auto" w:fill="auto"/>
          <w:rtl w:val="0"/>
          <w:lang w:val="en-US"/>
        </w:rPr>
        <w:t>Function.cls - lines 50-56</w:t>
      </w:r>
      <w:r>
        <w:rPr>
          <w:rFonts w:ascii="Times New Roman" w:cs="Times New Roman" w:hAnsi="Times New Roman" w:eastAsia="Times New Roman"/>
          <w:b w:val="1"/>
          <w:bCs w:val="1"/>
          <w:shd w:val="nil" w:color="auto" w:fill="auto"/>
          <w:lang w:val="en-US"/>
        </w:rPr>
        <w:drawing xmlns:a="http://schemas.openxmlformats.org/drawingml/2006/main">
          <wp:inline distT="0" distB="0" distL="0" distR="0">
            <wp:extent cx="4648200" cy="1200150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00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widowControl w:val="0"/>
        <w:spacing w:line="240" w:lineRule="auto"/>
        <w:rPr>
          <w:shd w:val="nil" w:color="auto" w:fill="auto"/>
          <w:lang w:val="en-US"/>
        </w:rPr>
      </w:pPr>
    </w:p>
    <w:p>
      <w:pPr>
        <w:pStyle w:val="Body A"/>
        <w:widowControl w:val="0"/>
        <w:spacing w:line="240" w:lineRule="auto"/>
        <w:rPr>
          <w:b w:val="1"/>
          <w:bCs w:val="1"/>
          <w:shd w:val="nil" w:color="auto" w:fill="auto"/>
        </w:rPr>
      </w:pPr>
      <w:r>
        <w:rPr>
          <w:b w:val="1"/>
          <w:bCs w:val="1"/>
          <w:shd w:val="nil" w:color="auto" w:fill="auto"/>
          <w:rtl w:val="0"/>
          <w:lang w:val="en-US"/>
        </w:rPr>
        <w:t>CRUD.cls - entire class</w:t>
      </w:r>
      <w:r>
        <w:rPr>
          <w:rFonts w:ascii="Times New Roman" w:cs="Times New Roman" w:hAnsi="Times New Roman" w:eastAsia="Times New Roman"/>
          <w:b w:val="1"/>
          <w:bCs w:val="1"/>
          <w:shd w:val="nil" w:color="auto" w:fill="auto"/>
          <w:lang w:val="en-US"/>
        </w:rPr>
        <w:drawing xmlns:a="http://schemas.openxmlformats.org/drawingml/2006/main">
          <wp:inline distT="0" distB="0" distL="0" distR="0">
            <wp:extent cx="5810250" cy="4089400"/>
            <wp:effectExtent l="0" t="0" r="0" b="0"/>
            <wp:docPr id="1073741828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8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widowControl w:val="0"/>
        <w:spacing w:line="240" w:lineRule="auto"/>
        <w:rPr>
          <w:b w:val="1"/>
          <w:bCs w:val="1"/>
          <w:shd w:val="nil" w:color="auto" w:fill="auto"/>
          <w:lang w:val="en-US"/>
        </w:rPr>
      </w:pPr>
    </w:p>
    <w:p>
      <w:pPr>
        <w:pStyle w:val="Body A"/>
        <w:widowControl w:val="0"/>
        <w:spacing w:line="240" w:lineRule="auto"/>
      </w:pPr>
      <w:r>
        <w:rPr>
          <w:b w:val="1"/>
          <w:bCs w:val="1"/>
          <w:shd w:val="nil" w:color="auto" w:fill="auto"/>
          <w:rtl w:val="0"/>
          <w:lang w:val="en-US"/>
        </w:rPr>
        <w:t>CalloutSecurity.cl</w:t>
      </w:r>
      <w:r>
        <w:rPr>
          <w:b w:val="1"/>
          <w:bCs w:val="1"/>
          <w:shd w:val="nil" w:color="auto" w:fill="auto"/>
          <w:rtl w:val="0"/>
          <w:lang w:val="en-US"/>
        </w:rPr>
        <w:t>s</w:t>
      </w:r>
      <w:r>
        <w:rPr>
          <w:rFonts w:ascii="Times New Roman" w:cs="Times New Roman" w:hAnsi="Times New Roman" w:eastAsia="Times New Roman"/>
          <w:b w:val="1"/>
          <w:bCs w:val="1"/>
          <w:shd w:val="nil" w:color="auto" w:fill="auto"/>
          <w:lang w:val="en-U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184864</wp:posOffset>
            </wp:positionH>
            <wp:positionV relativeFrom="line">
              <wp:posOffset>2287694</wp:posOffset>
            </wp:positionV>
            <wp:extent cx="5943600" cy="2206337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3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hd w:val="nil" w:color="auto" w:fill="auto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268098</wp:posOffset>
            </wp:positionV>
            <wp:extent cx="5943600" cy="1456319"/>
            <wp:effectExtent l="0" t="0" r="0" b="0"/>
            <wp:wrapThrough wrapText="bothSides" distL="152400" distR="152400">
              <wp:wrapPolygon edited="1">
                <wp:start x="0" y="0"/>
                <wp:lineTo x="0" y="21597"/>
                <wp:lineTo x="21600" y="21597"/>
                <wp:lineTo x="21600" y="0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00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20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40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960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680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400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120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0"/>
    <w:lvlOverride w:ilvl="0">
      <w:startOverride w:val="6"/>
    </w:lvlOverride>
  </w:num>
  <w:num w:numId="8">
    <w:abstractNumId w:val="0"/>
    <w:lvlOverride w:ilvl="0">
      <w:startOverride w:val="7"/>
    </w:lvlOverride>
  </w:num>
  <w:num w:numId="9">
    <w:abstractNumId w:val="0"/>
    <w:lvlOverride w:ilvl="0">
      <w:startOverride w:val="8"/>
    </w:lvlOverride>
  </w:num>
  <w:num w:numId="10">
    <w:abstractNumId w:val="2"/>
  </w:num>
  <w:num w:numId="11">
    <w:abstractNumId w:val="0"/>
    <w:lvlOverride w:ilvl="0">
      <w:startOverride w:val="9"/>
    </w:lvlOverride>
  </w:num>
  <w:num w:numId="12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80" w:line="240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shd w:val="nil" w:color="auto" w:fill="auto"/>
      <w:vertAlign w:val="baseline"/>
      <w:lang w:val="en-US"/>
      <w14:textFill>
        <w14:solidFill>
          <w14:srgbClr w14:val="66666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