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101AB" w14:textId="77777777" w:rsidR="002250FB" w:rsidRDefault="002250FB" w:rsidP="002250FB">
      <w:pPr>
        <w:pStyle w:val="Ttulo1"/>
      </w:pPr>
      <w:bookmarkStart w:id="0" w:name="_Hlk180166089"/>
      <w:bookmarkEnd w:id="0"/>
      <w:r>
        <w:t>ARQUITECTURA Y MLOPS</w:t>
      </w:r>
    </w:p>
    <w:p w14:paraId="376843D1" w14:textId="3EFDDB5C" w:rsidR="002250FB" w:rsidRDefault="002250FB" w:rsidP="002250FB">
      <w:r>
        <w:rPr>
          <w:noProof/>
        </w:rPr>
        <w:drawing>
          <wp:inline distT="0" distB="0" distL="0" distR="0" wp14:anchorId="0A54E6E9" wp14:editId="72DD22DE">
            <wp:extent cx="5400040" cy="3356610"/>
            <wp:effectExtent l="0" t="0" r="0" b="0"/>
            <wp:docPr id="18821149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1494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852A" w14:textId="77777777" w:rsidR="002250FB" w:rsidRDefault="002250FB" w:rsidP="002250FB">
      <w:pPr>
        <w:pStyle w:val="Prrafodelista"/>
        <w:numPr>
          <w:ilvl w:val="0"/>
          <w:numId w:val="1"/>
        </w:numPr>
      </w:pPr>
      <w:r w:rsidRPr="007D58C7">
        <w:rPr>
          <w:b/>
          <w:bCs/>
        </w:rPr>
        <w:t>Base de datos en la nube:</w:t>
      </w:r>
      <w:r w:rsidRPr="007D58C7">
        <w:t xml:space="preserve"> Los datos históricos de ventas se almacenan en una base de datos alojada en un servicio en la nube (ej. AWS, Azure, GCP).</w:t>
      </w:r>
      <w:r>
        <w:t xml:space="preserve"> Las ventas se pueden actualizar todos los días o para este caso de uso podría ser una vez a la semana justo antes de lanzar la ejecución de las series temporales.</w:t>
      </w:r>
    </w:p>
    <w:p w14:paraId="004766BE" w14:textId="77777777" w:rsidR="002250FB" w:rsidRDefault="002250FB" w:rsidP="002250FB">
      <w:pPr>
        <w:pStyle w:val="Prrafodelista"/>
        <w:numPr>
          <w:ilvl w:val="0"/>
          <w:numId w:val="1"/>
        </w:numPr>
      </w:pPr>
      <w:r>
        <w:rPr>
          <w:b/>
          <w:bCs/>
        </w:rPr>
        <w:t>Ejecución de Modelos Series Temporales:</w:t>
      </w:r>
      <w:r>
        <w:t xml:space="preserve"> S</w:t>
      </w:r>
      <w:r w:rsidRPr="007D58C7">
        <w:t>e realiza en una instancia (ej. una máquina virtual en la nube) que proporciona los recursos computacionales necesarios.</w:t>
      </w:r>
      <w:r>
        <w:t xml:space="preserve"> Estos se ejecutan el domingo después del cierre de las tiendas y después de haber actualizado las ventas. Las predicciones resultantes se almacenan en la base de datos en la nube.</w:t>
      </w:r>
    </w:p>
    <w:p w14:paraId="15A5814C" w14:textId="77777777" w:rsidR="002250FB" w:rsidRDefault="002250FB" w:rsidP="002250FB">
      <w:pPr>
        <w:pStyle w:val="Prrafodelista"/>
        <w:numPr>
          <w:ilvl w:val="0"/>
          <w:numId w:val="1"/>
        </w:numPr>
      </w:pPr>
      <w:r w:rsidRPr="002250FB">
        <w:rPr>
          <w:b/>
          <w:bCs/>
        </w:rPr>
        <w:t>API de predicción:</w:t>
      </w:r>
      <w:r>
        <w:t xml:space="preserve"> El ERP de las tiendas lanza la preparación de pedidos el lunes a primera hora, una vez se haya terminado el cálculo de las predicciones. EL ERP interroga a una API que recibe como entrada una tienda y un artículo y devuelve las predicciones de venta para los 7 días siguientes. Para obtenerlas la API consulta la base de datos en la nube.</w:t>
      </w:r>
    </w:p>
    <w:p w14:paraId="0573D5DB" w14:textId="095DF9EF" w:rsidR="00111BC3" w:rsidRDefault="002250FB" w:rsidP="002250FB">
      <w:pPr>
        <w:pStyle w:val="Prrafodelista"/>
        <w:numPr>
          <w:ilvl w:val="0"/>
          <w:numId w:val="1"/>
        </w:numPr>
      </w:pPr>
      <w:r w:rsidRPr="002250FB">
        <w:rPr>
          <w:b/>
          <w:bCs/>
        </w:rPr>
        <w:t>Propuesta de Pedido:</w:t>
      </w:r>
      <w:r>
        <w:t xml:space="preserve"> El ERP con la información de las predicciones que recibe del API más la información de stock y variables del artículo que tiene en su propia base de datos, calcula la propuesta de pedido según la fórmula anteriormente descrit</w:t>
      </w:r>
      <w:r>
        <w:t>a</w:t>
      </w:r>
    </w:p>
    <w:p w14:paraId="31ABB39F" w14:textId="57AB33F8" w:rsidR="002250FB" w:rsidRDefault="002250FB" w:rsidP="002250FB">
      <w:pPr>
        <w:pStyle w:val="Prrafodelista"/>
        <w:numPr>
          <w:ilvl w:val="0"/>
          <w:numId w:val="1"/>
        </w:numPr>
      </w:pPr>
      <w:r w:rsidRPr="002250F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68156FB" wp14:editId="2BD53EED">
            <wp:simplePos x="0" y="0"/>
            <wp:positionH relativeFrom="column">
              <wp:posOffset>453390</wp:posOffset>
            </wp:positionH>
            <wp:positionV relativeFrom="paragraph">
              <wp:posOffset>-1270</wp:posOffset>
            </wp:positionV>
            <wp:extent cx="5400040" cy="595630"/>
            <wp:effectExtent l="0" t="0" r="0" b="0"/>
            <wp:wrapTopAndBottom/>
            <wp:docPr id="2021744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44633" name="Imagen 20217446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0FB">
        <w:rPr>
          <w:b/>
          <w:bCs/>
        </w:rPr>
        <w:t>Monitorización</w:t>
      </w:r>
      <w:r>
        <w:t xml:space="preserve">: Los resultados de la efectividad de los modelos los obtendremos midiendo diversos </w:t>
      </w:r>
      <w:proofErr w:type="spellStart"/>
      <w:r>
        <w:t>KPI’s</w:t>
      </w:r>
      <w:proofErr w:type="spellEnd"/>
      <w:r>
        <w:t xml:space="preserve"> operativos como son Variaciones, niveles de roturas y rotación de stock y su impacto financiero calculando las diferencias del stock inmovilizado y si ha tenido un impacto tanto positivo como negativo en las ventas.</w:t>
      </w:r>
    </w:p>
    <w:sectPr w:rsidR="002250FB" w:rsidSect="002250FB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2207D"/>
    <w:multiLevelType w:val="hybridMultilevel"/>
    <w:tmpl w:val="706409A8"/>
    <w:lvl w:ilvl="0" w:tplc="D5A223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30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FB"/>
    <w:rsid w:val="00111BC3"/>
    <w:rsid w:val="002250FB"/>
    <w:rsid w:val="005A5711"/>
    <w:rsid w:val="007C071A"/>
    <w:rsid w:val="00D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63EF"/>
  <w15:chartTrackingRefBased/>
  <w15:docId w15:val="{29D4EF65-DF27-4DE7-A426-DA35D48B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FB"/>
  </w:style>
  <w:style w:type="paragraph" w:styleId="Ttulo1">
    <w:name w:val="heading 1"/>
    <w:basedOn w:val="Normal"/>
    <w:next w:val="Normal"/>
    <w:link w:val="Ttulo1Car"/>
    <w:uiPriority w:val="9"/>
    <w:qFormat/>
    <w:rsid w:val="00225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0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0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0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0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0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0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0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246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Guerra Cámara</dc:creator>
  <cp:keywords/>
  <dc:description/>
  <cp:lastModifiedBy>Juan Antonio Guerra Cámara</cp:lastModifiedBy>
  <cp:revision>1</cp:revision>
  <dcterms:created xsi:type="dcterms:W3CDTF">2024-10-18T15:46:00Z</dcterms:created>
  <dcterms:modified xsi:type="dcterms:W3CDTF">2024-10-18T15:55:00Z</dcterms:modified>
</cp:coreProperties>
</file>