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0F1B2E" w:sz="0"/>
              <w:left w:val="none" w:color="0F1B2E" w:sz="0"/>
              <w:bottom w:val="single" w:color="F5C451" w:sz="36"/>
              <w:right w:val="none" w:color="0F1B2E" w:sz="0"/>
            </w:tcBorders>
            <w:shd w:fill="0F1B2E" w:color="auto" w:val="clear"/>
            <w:tcMar>
              <w:top w:type="dxa" w:w="260"/>
              <w:left w:type="dxa" w:w="300"/>
              <w:bottom w:type="dxa" w:w="280"/>
              <w:right w:type="dxa" w:w="300"/>
            </w:tcMar>
          </w:tcPr>
          <w:p>
            <w:pPr>
              <w:spacing w:after="120" w:before="0" w:line="300"/>
            </w:pPr>
            <w:r>
              <w:rPr>
                <w:rFonts w:ascii="Calibri" w:cs="Calibri" w:eastAsia="Calibri" w:hAnsi="Calibri"/>
                <w:b/>
                <w:bCs/>
                <w:color w:val="F5C451"/>
                <w:sz w:val="18"/>
                <w:szCs w:val="18"/>
              </w:rPr>
              <w:t xml:space="preserve">MATERIAL DO PESQUISADOR E DO PROFESSOR</w:t>
            </w:r>
          </w:p>
          <w:p>
            <w:pPr>
              <w:spacing w:after="120" w:before="40" w:line="300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4"/>
                <w:szCs w:val="44"/>
              </w:rPr>
              <w:t xml:space="preserve">Instrumentos de avaliação da metodologia do jogo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BFE3F6"/>
                <w:sz w:val="24"/>
                <w:szCs w:val="24"/>
              </w:rPr>
              <w:t xml:space="preserve">Como investigar se o HIDRO ajuda a aprender e a se sentir preparado, e o que precisa melhorar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28650"/>
                  <wp:effectExtent t="0" r="0" b="0" l="0"/>
                  <wp:docPr id="1" name="img" descr="Logo da UFGD" title="Logo da 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66750"/>
                  <wp:effectExtent t="0" r="0" b="0" l="0"/>
                  <wp:docPr id="1" name="img" descr="Logo da FCA/UFGD" title="Logo da FCA/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19125"/>
                  <wp:effectExtent t="0" r="0" b="0" l="0"/>
                  <wp:docPr id="1" name="img" descr="Logo do PPGG/UFGD" title="Logo do PPGG/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5533D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Leia antes de usar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Este material é um ponto de partida. As escalas propostas foram elaboradas para esta oficina e não foram validadas estatisticamente; se você pretende publicar os resultados, faça a validação de conteúdo com especialistas e um estudo piloto. Toda pesquisa com estudantes exige autorização da instituição e aprovação em Comitê de Ética em Pesquisa (CEP).</w:t>
            </w:r>
          </w:p>
        </w:tc>
      </w:tr>
    </w:tbl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1. O que queremos saber</w:t>
      </w:r>
    </w:p>
    <w:p>
      <w:pPr>
        <w:pStyle w:val="ListParagraph"/>
        <w:keepLines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jogo, combinado com a base teórica, aumenta o conhecimento sobre os fenômenos e sobre o protocolo de autoproteção?</w:t>
      </w:r>
    </w:p>
    <w:p>
      <w:pPr>
        <w:pStyle w:val="ListParagraph"/>
        <w:keepLines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Os estudantes se sentem mais preparados para agir em uma situação de risco?</w:t>
      </w:r>
    </w:p>
    <w:p>
      <w:pPr>
        <w:pStyle w:val="ListParagraph"/>
        <w:keepLines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Como é a experiência de uso: facilidade, engajamento e desconforto?</w:t>
      </w:r>
    </w:p>
    <w:p>
      <w:pPr>
        <w:pStyle w:val="ListParagraph"/>
        <w:keepLines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que professores e estudantes destacam como pontos fortes e dificuldades?</w:t>
      </w:r>
    </w:p>
    <w:p>
      <w:pPr>
        <w:pStyle w:val="ListParagraph"/>
        <w:keepLines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Há barreiras e facilitadores para estudantes autistas e com altas habilidades ou superdotação?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2. Desenhos possíveis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cantSplit/>
        </w:trPr>
        <w:tc>
          <w:tcPr>
            <w:tcW w:type="dxa" w:w="2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A. Pré e pós-teste (uma turma)</w:t>
            </w:r>
          </w:p>
        </w:tc>
        <w:tc>
          <w:tcPr>
            <w:tcW w:type="dxa" w:w="67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Aplica-se o questionário de conhecimentos antes e depois da oficina. É o desenho mais simples. Permite ver mudanças, mas não prova que foram causadas pelo jogo.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B. Comparação entre turmas</w:t>
            </w:r>
          </w:p>
        </w:tc>
        <w:tc>
          <w:tcPr>
            <w:tcW w:type="dxa" w:w="67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Uma turma faz a oficina com o jogo e outra recebe uma aula expositiva sobre o mesmo conteúdo. Comparam-se os ganhos. Cuidado com diferenças entre as turmas (série, professor, horário).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C. Estudo de caso com várias fontes</w:t>
            </w:r>
          </w:p>
        </w:tc>
        <w:tc>
          <w:tcPr>
            <w:tcW w:type="dxa" w:w="67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Combina questionários, observação, registros do Modo Professor, grupo focal e entrevistas. Bom para compreender o contexto e a inclusão.</w:t>
            </w:r>
          </w:p>
        </w:tc>
      </w:tr>
    </w:tbl>
    <w:p>
      <w:pPr>
        <w:spacing w:after="8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Sugestão.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Comece com o desenho A somado à observação, aos registros do Modo Professor e a um grupo focal. É viável em uma escola e já traz informações valiosas. Só amplie para o desenho B se houver condições de comparação e apoio metodológico.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3. Cronograma sugerido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7338"/>
      </w:tblGrid>
      <w:tr>
        <w:trPr>
          <w:cantSplit/>
          <w:tblHeader/>
        </w:trPr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7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Antes</w:t>
            </w:r>
          </w:p>
        </w:tc>
        <w:tc>
          <w:tcPr>
            <w:tcW w:type="dxa" w:w="7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Autorizações (TCLE e TALE), sensibilização da escola e combinação do calendário.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Semana 0 (antes)</w:t>
            </w:r>
          </w:p>
        </w:tc>
        <w:tc>
          <w:tcPr>
            <w:tcW w:type="dxa" w:w="7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Pré-teste de conhecimentos e escala de autoeficácia.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Semana 0</w:t>
            </w:r>
          </w:p>
        </w:tc>
        <w:tc>
          <w:tcPr>
            <w:tcW w:type="dxa" w:w="7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Oficina (2 aulas). Observação e registros do Modo Professor.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Semana 0 ou 1</w:t>
            </w:r>
          </w:p>
        </w:tc>
        <w:tc>
          <w:tcPr>
            <w:tcW w:type="dxa" w:w="7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Pós-teste, escala de autoeficácia e questionário de experiência.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Semanas 4 a 6</w:t>
            </w:r>
          </w:p>
        </w:tc>
        <w:tc>
          <w:tcPr>
            <w:tcW w:type="dxa" w:w="7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Pós-teste tardio (retenção) e grupo focal com estudantes; entrevista com professores.</w:t>
            </w:r>
          </w:p>
        </w:tc>
      </w:tr>
    </w:tbl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4. Aspectos éticos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Autorização da escola e da secretaria de educação, quando exigida.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Termo de Consentimento Livre e Esclarecido (TCLE) para os responsáveis e Termo de Assentimento Livre e Esclarecido (TALE) para os estudantes.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Submissão ao Comitê de Ética em Pesquisa (CEP) da instituição. Pesquisas em ciências humanas e sociais seguem a Resolução CNS nº 510/2016.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Anonimização: use códigos no lugar de nomes e guarde as listas de correspondência separadamente.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Acolhimento: se algum estudante se emocionar ao lembrar de perdas, pause a atividade e encaminhe para o apoio da escola.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jogo não coleta dados pessoais e guarda o progresso apenas no aparelho. Não há envio automático de dados.</w:t>
      </w:r>
    </w:p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1: Questionário de conhecimentos (pré e pós)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Nome ou código: ________________   Turma: ________   Data: ___/___/______   ( ) pré  ( ) pós  ( ) pós tardio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20"/>
          <w:szCs w:val="20"/>
        </w:rPr>
        <w:t xml:space="preserve">Marque uma alternativa por questão. Se não souber, marque a opção que você acha mais correta. Pode ser aplicado antes e depois; para reduzir memorização, embaralhe a ordem das questões e das alternativas no pós-teste.</w:t>
      </w: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1.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Qual é o número de telefone da Defesa Civil?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192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193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199</w:t>
      </w:r>
    </w:p>
    <w:p>
      <w:pPr>
        <w:spacing w:after="50"/>
      </w:pP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2.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Em uma emergência, qual é o primeiro passo do protocolo de segurança?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Avisar a Defesa Civil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Proteger-se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Ajudar os vizinhos</w:t>
      </w:r>
    </w:p>
    <w:p>
      <w:pPr>
        <w:spacing w:after="50"/>
      </w:pP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3.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O que é uma enxurrada?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Água acumulada e parada na rua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Água que escorre rápido e com força, principalmente em ruas com declive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Terra que desce de uma encosta</w:t>
      </w:r>
    </w:p>
    <w:p>
      <w:pPr>
        <w:spacing w:after="50"/>
      </w:pP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4.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O que é um alagamento?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Acúmulo de água na rua porque a drenagem não dá conta ou está entupida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Transbordamento de um rio por vários dias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Água que desce um morro em alta velocidade</w:t>
      </w:r>
    </w:p>
    <w:p>
      <w:pPr>
        <w:spacing w:after="50"/>
      </w:pP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5.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O que é uma enchente?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Aumento do nível da água dentro do rio, sem transbordar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Acúmulo de água de chuva na rua por falta de escoamento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Terra que desce de uma encosta</w:t>
      </w:r>
    </w:p>
    <w:p>
      <w:pPr>
        <w:spacing w:after="50"/>
      </w:pP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6.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O que é uma inundação?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A mesma coisa que uma enxurrada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Quando a água do rio ultrapassa as margens e alcança a planície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Água parada em uma poça pequena</w:t>
      </w:r>
    </w:p>
    <w:p>
      <w:pPr>
        <w:spacing w:after="50"/>
      </w:pP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7.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Qual destes é um sinal de possível deslizamento?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Céu nublado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Rachaduras no chão e árvores ou postes inclinados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Vento fraco</w:t>
      </w:r>
    </w:p>
    <w:p>
      <w:pPr>
        <w:spacing w:after="50"/>
      </w:pP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8.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Por que o lixo jogado na rua contribui para alagamentos?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Porque entope as bocas de lobo (bueiros) e a água não escoa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Porque o lixo atrai mais chuva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Porque o lixo esquenta o asfalto</w:t>
      </w:r>
    </w:p>
    <w:p>
      <w:pPr>
        <w:spacing w:after="50"/>
      </w:pP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9.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Qual destes perigos costuma ficar escondido em uma rua alagada?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Poço de visita sem tampão, buracos e fios energizados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Somente folhas secas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Nenhum, a água da chuva é limpa</w:t>
      </w:r>
    </w:p>
    <w:p>
      <w:pPr>
        <w:spacing w:after="50"/>
      </w:pP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10.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A água começa a subir dentro de casa. O que fazer com a energia elétrica?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Deixar ligada para não estragar a comida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Desligar o disjuntor geral antes que a água atinja as tomadas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Só desligar depois que a água baixar</w:t>
      </w:r>
    </w:p>
    <w:p>
      <w:pPr>
        <w:spacing w:after="50"/>
      </w:pP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11.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Você vê rachaduras em uma encosta perto da sua casa. O que fazer?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Tapar com cimento e ficar tranquilo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Afastar-se e avisar a Defesa Civil (199)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Subir na encosta para olhar de perto</w:t>
      </w:r>
    </w:p>
    <w:p>
      <w:pPr>
        <w:spacing w:after="50"/>
      </w:pP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12.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Você já saiu de casa e lembra que esqueceu um brinquedo lá dentro. O que fazer?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Voltar rapidamente para pegar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Não voltar: objetos podem ser repostos, vidas não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Pedir para uma criança buscar</w:t>
      </w:r>
    </w:p>
    <w:p>
      <w:pPr>
        <w:spacing w:after="50"/>
      </w:pPr>
    </w:p>
    <w:p>
      <w:pPr>
        <w:keepNext/>
        <w:spacing w:after="5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13.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Qual conjunto é o mais adequado para uma mochila de emergência?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A)  Brinquedos e doces</w:t>
      </w:r>
    </w:p>
    <w:p>
      <w:pPr>
        <w:keepNext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B)  Documentos em saco plástico, água, remédios, lanterna e carregador</w:t>
      </w:r>
    </w:p>
    <w:p>
      <w:pPr>
        <w:keepNext w:val="false"/>
        <w:spacing w:after="30" w:before="0" w:line="276"/>
        <w:ind w:left="40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(   )  C)  Apenas roupas de festa</w:t>
      </w:r>
    </w:p>
    <w:p>
      <w:pPr>
        <w:spacing w:after="50"/>
      </w:pPr>
    </w:p>
    <w:p>
      <w:pPr>
        <w:spacing w:after="6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13.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Explique com suas palavras a diferença entre alagamento e enxurrada.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1000" w:hRule="atLeast"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spacing w:after="60"/>
      </w:pPr>
    </w:p>
    <w:p>
      <w:pPr>
        <w:spacing w:after="6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14.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Descreva o que você faria se a água começasse a subir na rua da sua casa.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1000" w:hRule="atLeast"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spacing w:after="60"/>
      </w:pPr>
    </w:p>
    <w:p>
      <w:r>
        <w:br w:type="page"/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Gabarito e pontuação (professor ou pesquisador)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1600"/>
        <w:gridCol w:w="7038"/>
      </w:tblGrid>
      <w:tr>
        <w:trPr>
          <w:cantSplit/>
          <w:tblHeader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Questão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Resposta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Alternativa correta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C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199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B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Proteger-se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3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B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Água que escorre rápido e com força, principalmente em ruas com declive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4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Acúmulo de água na rua porque a drenagem não dá conta ou está entupida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5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Aumento do nível da água dentro do rio, sem transbordar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6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B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Quando a água do rio ultrapassa as margens e alcança a planície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B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Rachaduras no chão e árvores ou postes inclinados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8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Porque entope as bocas de lobo (bueiros) e a água não escoa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9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Poço de visita sem tampão, buracos e fios energizados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10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B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Desligar o disjuntor geral antes que a água atinja as tomadas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11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B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Afastar-se e avisar a Defesa Civil (199)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12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B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Não voltar: objetos podem ser repostos, vidas não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13</w:t>
            </w:r>
          </w:p>
        </w:tc>
        <w:tc>
          <w:tcPr>
            <w:tcW w:type="dxa" w:w="1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B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Documentos em saco plástico, água, remédios, lanterna e carregador</w:t>
            </w:r>
          </w:p>
        </w:tc>
      </w:tr>
    </w:tbl>
    <w:p>
      <w:pPr>
        <w:spacing w:after="8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Questões fechadas: 1 ponto cada (0 a 12). Questões abertas: 0 a 2 pontos cada (0 a 4). Total: 0 a 16. Calcule também a porcentagem de acertos para o ganho normalizado.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Questão 13.</w:t>
      </w:r>
      <w:r>
        <w:rPr>
          <w:rFonts w:ascii="Calibri" w:cs="Calibri" w:eastAsia="Calibri" w:hAnsi="Calibri"/>
          <w:color w:val="14213D"/>
          <w:sz w:val="20"/>
          <w:szCs w:val="20"/>
        </w:rPr>
        <w:t xml:space="preserve"> Explique com suas palavras a diferença entre alagamento e enxurrada. (0 a 2 pontos: 0 = em branco ou incorreta; 1 = parcialmente correta; 2 = correta e clara)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Questão 14.</w:t>
      </w:r>
      <w:r>
        <w:rPr>
          <w:rFonts w:ascii="Calibri" w:cs="Calibri" w:eastAsia="Calibri" w:hAnsi="Calibri"/>
          <w:color w:val="14213D"/>
          <w:sz w:val="20"/>
          <w:szCs w:val="20"/>
        </w:rPr>
        <w:t xml:space="preserve"> Descreva o que você faria se a água começasse a subir na rua da sua casa. (0 a 2 pontos: 0 = sem ação segura; 1 = ação segura isolada; 2 = sequência coerente com o protocolo)</w:t>
      </w:r>
    </w:p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2: Percepção de preparo (autoeficácia)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Nome ou código: ________________   Turma: ________   Data: ___/___/______   ( ) pré  ( ) pós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20"/>
          <w:szCs w:val="20"/>
        </w:rPr>
        <w:t xml:space="preserve">Marque de 1 (discordo totalmente) a 5 (concordo totalmente).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38"/>
        <w:gridCol w:w="640"/>
        <w:gridCol w:w="640"/>
        <w:gridCol w:w="640"/>
        <w:gridCol w:w="640"/>
        <w:gridCol w:w="640"/>
      </w:tblGrid>
      <w:tr>
        <w:trPr>
          <w:cantSplit/>
          <w:tblHeader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Afirmação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rHeight w:val="62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Sei o que fazer para me proteger se a rua alagar.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62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Sei a quem pedir ajuda em uma emergência com chuva forte.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62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Consigo reconhecer sinais de que uma encosta pode deslizar.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62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Consigo explicar para a minha família o que fazer em uma enchente.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62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Eu me sinto preparado(a) para ajudar outra pessoa em uma situação de risco.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spacing w:after="120" w:before="80" w:line="276"/>
      </w:pPr>
      <w:r>
        <w:rPr>
          <w:rFonts w:ascii="Calibri" w:cs="Calibri" w:eastAsia="Calibri" w:hAnsi="Calibri"/>
          <w:color w:val="4A5A73"/>
          <w:sz w:val="18"/>
          <w:szCs w:val="18"/>
        </w:rPr>
        <w:t xml:space="preserve">1 = discordo totalmente   2 = discordo   3 = nem concordo nem discordo   4 = concordo   5 = concordo totalmente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3: Experiência com o jogo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Código: ________________   Turma: ________   Data: ___/___/______</w:t>
      </w: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20"/>
          <w:szCs w:val="20"/>
        </w:rPr>
        <w:t xml:space="preserve">Marque de 1 (discordo totalmente) a 5 (concordo totalmente). Não há resposta certa: queremos saber o que você sentiu.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38"/>
        <w:gridCol w:w="640"/>
        <w:gridCol w:w="640"/>
        <w:gridCol w:w="640"/>
        <w:gridCol w:w="640"/>
        <w:gridCol w:w="640"/>
      </w:tblGrid>
      <w:tr>
        <w:trPr>
          <w:cantSplit/>
          <w:tblHeader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Afirmação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rHeight w:val="56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1. Foi fácil entender o que eu precisava fazer no jogo.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2. Consegui usar os controles sem dificuldade.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3. Os textos do jogo foram fáceis de ler.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4. Eu quis continuar jogando.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5. Aprendi coisas novas jogando.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6. O jogo me fez pensar no que eu faria em uma emergência.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7. Eu me senti nervoso(a) ou desconfortável durante o jogo.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8. Os sons, as luzes ou os efeitos me incomodaram.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9. O tempo do jogo foi suficiente para eu pensar.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10. Eu recomendaria o jogo para colegas.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spacing w:after="80"/>
      </w:pPr>
    </w:p>
    <w:p>
      <w:pPr>
        <w:spacing w:after="4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O que você mais gostou?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700" w:hRule="atLeast"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spacing w:after="50"/>
      </w:pPr>
    </w:p>
    <w:p>
      <w:pPr>
        <w:spacing w:after="4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O que foi mais difícil?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700" w:hRule="atLeast"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spacing w:after="50"/>
      </w:pPr>
    </w:p>
    <w:p>
      <w:pPr>
        <w:spacing w:after="4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O que você mudaria no jogo?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700" w:hRule="atLeast"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C451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Nota de análise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Os itens 7 e 8 são negativos: valores altos indicam mais desconforto. Analise-os separadamente, sem somar aos demais.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4: Roteiro de observação (professor)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Turma: ________   Data: ___/___/______   Observador(a): ______________________</w:t>
      </w: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20"/>
          <w:szCs w:val="20"/>
        </w:rPr>
        <w:t xml:space="preserve">Para cada item, registre: nunca, às vezes ou sempre, e escreva um exemplo.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00"/>
        <w:gridCol w:w="900"/>
        <w:gridCol w:w="900"/>
        <w:gridCol w:w="900"/>
        <w:gridCol w:w="2638"/>
      </w:tblGrid>
      <w:tr>
        <w:trPr>
          <w:cantSplit/>
          <w:tblHeader/>
        </w:trPr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 observado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Nunca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Às vezes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Sempre</w:t>
            </w:r>
          </w:p>
        </w:tc>
        <w:tc>
          <w:tcPr>
            <w:tcW w:type="dxa" w:w="2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ou observação</w:t>
            </w:r>
          </w:p>
        </w:tc>
      </w:tr>
      <w:tr>
        <w:trPr>
          <w:cantSplit/>
          <w:trHeight w:val="700" w:hRule="atLeast"/>
        </w:trPr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A dupla seguiu a ordem do protocolo (proteja-se, avise, aja)?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700" w:hRule="atLeast"/>
        </w:trPr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Os estudantes justificaram as decisões com conceitos da aula?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700" w:hRule="atLeast"/>
        </w:trPr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Houve colaboração e troca de papéis?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700" w:hRule="atLeast"/>
        </w:trPr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Quais dificuldades técnicas apareceram (controles, tela, som, conexão)?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700" w:hRule="atLeast"/>
        </w:trPr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Houve sinais de sobrecarga (pausas frequentes, incômodo com sons ou luzes, ansiedade com o relógio)? O que ajudou?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700" w:hRule="atLeast"/>
        </w:trPr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Alguém precisou do modo calmo (efeitos reduzidos ou sem relógio)?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700" w:hRule="atLeast"/>
        </w:trPr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Quais perguntas ou dúvidas surgiram?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700" w:hRule="atLeast"/>
        </w:trPr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Que conceitos errados apareceram e foram corrigidos?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5: Registro do Modo Professor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Aperte a tecla T (ou o botão PROFESSOR) durante o jogo para ver as últimas decisões seguras e perigosas e o resultado do quiz por fase. O jogo guarda os dados apenas no aparelho e não envia nada para a internet. Anote por dupla: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800"/>
        <w:gridCol w:w="1000"/>
        <w:gridCol w:w="1200"/>
        <w:gridCol w:w="1200"/>
        <w:gridCol w:w="1100"/>
        <w:gridCol w:w="1000"/>
        <w:gridCol w:w="1838"/>
      </w:tblGrid>
      <w:tr>
        <w:trPr>
          <w:cantSplit/>
          <w:tblHeader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Dupla (código)</w:t>
            </w:r>
          </w:p>
        </w:tc>
        <w:tc>
          <w:tcPr>
            <w:tcW w:type="dxa" w:w="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Fase</w:t>
            </w: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Tentativas</w:t>
            </w: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Decisões seguras</w:t>
            </w: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Decisões perigosas</w:t>
            </w: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Quiz (acertos)</w:t>
            </w: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Medalha</w:t>
            </w:r>
          </w:p>
        </w:tc>
        <w:tc>
          <w:tcPr>
            <w:tcW w:type="dxa" w:w="18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Observações</w:t>
            </w:r>
          </w:p>
        </w:tc>
      </w:tr>
      <w:tr>
        <w:trPr>
          <w:cantSplit/>
          <w:trHeight w:val="48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8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8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8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8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8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8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8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8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8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8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8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6: Roteiro do grupo focal com estudantes (20 a 30 min, 5 a 8 participantes)</w:t>
      </w:r>
    </w:p>
    <w:p>
      <w:pPr>
        <w:pStyle w:val="ListParagraph"/>
        <w:keepLines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Contem, com as suas palavras, o que vocês fizeram na oficina.</w:t>
      </w:r>
    </w:p>
    <w:p>
      <w:pPr>
        <w:pStyle w:val="ListParagraph"/>
        <w:keepLines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que vocês aprenderam que não sabiam antes?</w:t>
      </w:r>
    </w:p>
    <w:p>
      <w:pPr>
        <w:pStyle w:val="ListParagraph"/>
        <w:keepLines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Teve alguma parte do jogo em que vocês tiveram dúvida ou se sentiram perdidos?</w:t>
      </w:r>
    </w:p>
    <w:p>
      <w:pPr>
        <w:pStyle w:val="ListParagraph"/>
        <w:keepLines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Alguma coisa incomodou (sons, luzes, tempo, textos)? O que ajudou?</w:t>
      </w:r>
    </w:p>
    <w:p>
      <w:pPr>
        <w:pStyle w:val="ListParagraph"/>
        <w:keepLines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que o jogo tem de parecido ou diferente com uma situação real?</w:t>
      </w:r>
    </w:p>
    <w:p>
      <w:pPr>
        <w:pStyle w:val="ListParagraph"/>
        <w:keepLines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que vocês contaram (ou contariam) em casa?</w:t>
      </w:r>
    </w:p>
    <w:p>
      <w:pPr>
        <w:pStyle w:val="ListParagraph"/>
        <w:keepLines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que vocês mudariam no jogo ou na aula?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Cuidados: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explique que não há respostas certas, garanta que todos possam falar, evite pedir detalhes de sofrimento e registre com autorização (áudio ou anotação, sem nomes).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7: Roteiro de entrevista com professores</w:t>
      </w:r>
    </w:p>
    <w:p>
      <w:pPr>
        <w:pStyle w:val="ListParagraph"/>
        <w:keepLines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Como o jogo se relacionou com o seu planejamento e com a BNCC?</w:t>
      </w:r>
    </w:p>
    <w:p>
      <w:pPr>
        <w:pStyle w:val="ListParagraph"/>
        <w:keepLines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Quanto tempo de preparo foi necessário?</w:t>
      </w:r>
    </w:p>
    <w:p>
      <w:pPr>
        <w:pStyle w:val="ListParagraph"/>
        <w:keepLines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Que atividades funcionaram melhor? Quais precisariam de ajustes?</w:t>
      </w:r>
    </w:p>
    <w:p>
      <w:pPr>
        <w:pStyle w:val="ListParagraph"/>
        <w:keepLines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Como foi a participação de estudantes com deficiência, TEA ou altas habilidades?</w:t>
      </w:r>
    </w:p>
    <w:p>
      <w:pPr>
        <w:pStyle w:val="ListParagraph"/>
        <w:keepLines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Que recursos técnicos ajudaram ou dificultaram (aparelhos, internet, projetor)?</w:t>
      </w:r>
    </w:p>
    <w:p>
      <w:pPr>
        <w:pStyle w:val="ListParagraph"/>
        <w:keepLines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Você usaria de novo? Em que condições?</w:t>
      </w:r>
    </w:p>
    <w:p>
      <w:pPr>
        <w:pStyle w:val="ListParagraph"/>
        <w:keepLines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que mudaria no jogo e no material de apoio?</w:t>
      </w:r>
    </w:p>
    <w:p>
      <w:pPr>
        <w:pStyle w:val="ListParagraph"/>
        <w:keepLines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Que outros conteúdos ou fenômenos gostaria de ver?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8: Rubrica de aprendizagem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2546"/>
        <w:gridCol w:w="2546"/>
        <w:gridCol w:w="2546"/>
      </w:tblGrid>
      <w:tr>
        <w:trPr>
          <w:cantSplit/>
          <w:tblHeader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Em construção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Alcançado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Avançado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Conceitos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Confunde os fenômenos.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Diferencia os quatro fenômenos.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Explica causas e dá exemplos do bairro.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Protocolo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Lembra parte da sequência.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Aplica proteja-se, avise, aja.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Justifica cada passo e a ordem.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Decisões no jogo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Erra sem perceber por quê.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Explica decisões que ajudaram ou atrapalharam.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Propõe como agiria na vida real.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Participação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Participa quando solicitado.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Colabora com a dupla.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Ajuda outros grupos e conduz a discussão.</w:t>
            </w:r>
          </w:p>
        </w:tc>
      </w:tr>
    </w:tbl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5. Como analisar os dados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Descritiva</w:t>
            </w:r>
          </w:p>
        </w:tc>
        <w:tc>
          <w:tcPr>
            <w:tcW w:type="dxa" w:w="7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Média, mediana e desvio-padrão dos escores de pré e pós; frequências por questão.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Pré e pós (pareado)</w:t>
            </w:r>
          </w:p>
        </w:tc>
        <w:tc>
          <w:tcPr>
            <w:tcW w:type="dxa" w:w="7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Com turmas pequenas ou dados assimétricos, prefira o teste de Wilcoxon para amostras pareadas; com dados aproximadamente normais, o teste t pareado. Informe o tamanho do efeito.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Ganho normalizado</w:t>
            </w:r>
          </w:p>
        </w:tc>
        <w:tc>
          <w:tcPr>
            <w:tcW w:type="dxa" w:w="7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g = (% pós − % pré) ÷ (100 − % pré), calculado por estudante ou pela média da turma (Hake, 1998). Referência usual: g baixo &lt; 0,3; médio de 0,3 a 0,7; alto ≥ 0,7.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Qualitativa</w:t>
            </w:r>
          </w:p>
        </w:tc>
        <w:tc>
          <w:tcPr>
            <w:tcW w:type="dxa" w:w="7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Análise temática das respostas abertas, do grupo focal e das entrevistas: leia tudo, codifique, agrupe em temas e volte às falas para conferir.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Inclusão</w:t>
            </w:r>
          </w:p>
        </w:tc>
        <w:tc>
          <w:tcPr>
            <w:tcW w:type="dxa" w:w="7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Descreva, sem identificar, quais barreiras e facilitadores apareceram para estudantes autistas e com altas habilidades e o que foi ajustado.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Modelo de tabela de resultados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800"/>
        <w:gridCol w:w="1800"/>
        <w:gridCol w:w="2438"/>
      </w:tblGrid>
      <w:tr>
        <w:trPr>
          <w:cantSplit/>
          <w:tblHeader/>
        </w:trPr>
        <w:tc>
          <w:tcPr>
            <w:tcW w:type="dxa" w:w="3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1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Pré</w:t>
            </w:r>
          </w:p>
        </w:tc>
        <w:tc>
          <w:tcPr>
            <w:tcW w:type="dxa" w:w="1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Pós</w:t>
            </w: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Ganho normalizado</w:t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Conhecimentos (0 a 100%)</w:t>
            </w:r>
          </w:p>
        </w:tc>
        <w:tc>
          <w:tcPr>
            <w:tcW w:type="dxa" w:w="1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Percepção de preparo (1 a 5)</w:t>
            </w:r>
          </w:p>
        </w:tc>
        <w:tc>
          <w:tcPr>
            <w:tcW w:type="dxa" w:w="1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Experiência: engajamento (1 a 5)</w:t>
            </w:r>
          </w:p>
        </w:tc>
        <w:tc>
          <w:tcPr>
            <w:tcW w:type="dxa" w:w="1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Limites do estudo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Sem grupo de comparação, não é possível afirmar que o jogo causou a mudança.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efeito do professor e do momento da aplicação pode influenciar os resultados.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As escalas não foram validadas: interprete com cautela.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Amostras pequenas limitam a generalização.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6. Referências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HAKE, R. R. Interactive-engagement versus traditional methods: a six-thousand-student survey of mechanics test data for introductory physics courses. American Journal of Physics, v. 66, n. 1, p. 64-74, 1998.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BRASIL. Conselho Nacional de Saúde. Resolução nº 510, de 7 de abril de 2016.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GEE, J. P. What video games have to teach us about learning and literacy. New York: Palgrave Macmillan, 2003.</w:t>
      </w:r>
    </w:p>
    <w:p>
      <w:pPr>
        <w:spacing w:after="100"/>
      </w:pP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18"/>
          <w:szCs w:val="18"/>
        </w:rPr>
        <w:t xml:space="preserve">Material do projeto HIDRO: Redução de Riscos. Autoria: Antonio Idêrlian Pereira de Sousa. Contato: antonioiderlian@outlook.com | antoniosousa@ufgd.edu.br.</w:t>
      </w:r>
    </w:p>
    <w:sectPr>
      <w:headerReference w:type="default" r:id="rId7"/>
      <w:footerReference w:type="default" r:id="rId8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right"/>
    </w:pPr>
    <w:r>
      <w:rPr>
        <w:rFonts w:ascii="Calibri" w:cs="Calibri" w:eastAsia="Calibri" w:hAnsi="Calibri"/>
        <w:color w:val="4A5A73"/>
        <w:sz w:val="16"/>
        <w:szCs w:val="16"/>
      </w:rPr>
      <w:t xml:space="preserve">Antonio Idêrlian Pereira de Sousa   |   Página </w:t>
    </w:r>
    <w:r>
      <w:rPr>
        <w:rFonts w:ascii="Calibri" w:cs="Calibri" w:eastAsia="Calibri" w:hAnsi="Calibri"/>
        <w:color w:val="4A5A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E4" w:sz="6" w:space="4"/>
      </w:pBdr>
      <w:spacing w:after="0"/>
    </w:pPr>
    <w:r>
      <w:rPr>
        <w:rFonts w:ascii="Calibri" w:cs="Calibri" w:eastAsia="Calibri" w:hAnsi="Calibri"/>
        <w:b/>
        <w:bCs/>
        <w:color w:val="1B78A8"/>
        <w:sz w:val="18"/>
        <w:szCs w:val="18"/>
      </w:rPr>
      <w:t xml:space="preserve">HIDRO: Redução de Riscos</w:t>
    </w:r>
    <w:r>
      <w:rPr>
        <w:rFonts w:ascii="Calibri" w:cs="Calibri" w:eastAsia="Calibri" w:hAnsi="Calibri"/>
        <w:color w:val="4A5A73"/>
        <w:sz w:val="18"/>
        <w:szCs w:val="18"/>
      </w:rPr>
      <w:t xml:space="preserve">   |   Instrumentos de avaliação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4d9613b0cfa4d945ed10552a1853c4dcc773189.png"/><Relationship Id="rId10" Type="http://schemas.openxmlformats.org/officeDocument/2006/relationships/image" Target="media/6001948cdd996b3f3809a7ef5f21d90a49237e31.png"/><Relationship Id="rId11" Type="http://schemas.openxmlformats.org/officeDocument/2006/relationships/image" Target="media/687f719f89e99e954debf2c3cff16cfa9a217f0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Instrumentos de avaliação</dc:title>
  <dc:creator>Antonio Idêrlian Pereira de Sousa</dc:creator>
  <dc:description>Material do projeto HIDRO: Redução de Riscos</dc:description>
  <cp:lastModifiedBy>Un-named</cp:lastModifiedBy>
  <cp:revision>1</cp:revision>
  <dcterms:created xsi:type="dcterms:W3CDTF">2026-09-22T12:20:55.580Z</dcterms:created>
  <dcterms:modified xsi:type="dcterms:W3CDTF">2026-09-22T12:20:55.580Z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