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0F1B2E" w:sz="0"/>
              <w:left w:val="none" w:color="0F1B2E" w:sz="0"/>
              <w:bottom w:val="single" w:color="F5C451" w:sz="36"/>
              <w:right w:val="none" w:color="0F1B2E" w:sz="0"/>
            </w:tcBorders>
            <w:shd w:fill="0F1B2E" w:color="auto" w:val="clear"/>
            <w:tcMar>
              <w:top w:type="dxa" w:w="260"/>
              <w:left w:type="dxa" w:w="300"/>
              <w:bottom w:type="dxa" w:w="280"/>
              <w:right w:type="dxa" w:w="300"/>
            </w:tcMar>
          </w:tcPr>
          <w:p>
            <w:pPr>
              <w:spacing w:after="120" w:before="0" w:line="300"/>
            </w:pPr>
            <w:r>
              <w:rPr>
                <w:rFonts w:ascii="Calibri" w:cs="Calibri" w:eastAsia="Calibri" w:hAnsi="Calibri"/>
                <w:b/>
                <w:bCs/>
                <w:color w:val="F5C451"/>
                <w:sz w:val="18"/>
                <w:szCs w:val="18"/>
              </w:rPr>
              <w:t xml:space="preserve">MATERIAL DO PROFESSOR</w:t>
            </w:r>
          </w:p>
          <w:p>
            <w:pPr>
              <w:spacing w:after="120" w:before="40" w:line="300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Guia de inclusão: estudantes autistas e com altas habilidades ou superdotação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FE3F6"/>
                <w:sz w:val="24"/>
                <w:szCs w:val="24"/>
              </w:rPr>
              <w:t xml:space="preserve">Como adaptar a oficina e o jogo HIDRO, sem rótulos e com a participação da família e do AEE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28650"/>
                  <wp:effectExtent t="0" r="0" b="0" l="0"/>
                  <wp:docPr id="1" name="img" descr="Logo da UFGD" title="Logo da 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66750"/>
                  <wp:effectExtent t="0" r="0" b="0" l="0"/>
                  <wp:docPr id="1" name="img" descr="Logo da FCA/UFGD" title="Logo da FCA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19125"/>
                  <wp:effectExtent t="0" r="0" b="0" l="0"/>
                  <wp:docPr id="1" name="img" descr="Logo do PPGG/UFGD" title="Logo do PPGG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1. Princípios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Cada pessoa é diferente</w:t>
            </w:r>
          </w:p>
        </w:tc>
        <w:tc>
          <w:tcPr>
            <w:tcW w:type="dxa" w:w="6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Autismo e altas habilidades são muito variados. Os apoios abaixo são possibilidades, não receitas. Converse com o estudante, com a família e com o atendimento educacional especializado (AEE) e consulte o plano individual (PEI ou PDI), quando houver.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Desenho Universal para a Aprendizagem (DUA)</w:t>
            </w:r>
          </w:p>
        </w:tc>
        <w:tc>
          <w:tcPr>
            <w:tcW w:type="dxa" w:w="6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Planeje várias formas de engajar, de apresentar a informação e de expressar o que se aprendeu. O que ajuda um estudante costuma ajudar muitos (CAST, 2018).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Pense antes, não depois</w:t>
            </w:r>
          </w:p>
        </w:tc>
        <w:tc>
          <w:tcPr>
            <w:tcW w:type="dxa" w:w="6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Antecipe barreiras (sons, luzes, tempo, ambiguidade, trabalho em grupo) em vez de esperar que o problema apareça.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Ouça o estudante</w:t>
            </w:r>
          </w:p>
        </w:tc>
        <w:tc>
          <w:tcPr>
            <w:tcW w:type="dxa" w:w="6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Pergunte o que ajuda. Aceite o que ele diz, inclusive quando disser que quer observar, jogar sozinho ou parar.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Errar em segurança</w:t>
            </w:r>
          </w:p>
        </w:tc>
        <w:tc>
          <w:tcPr>
            <w:tcW w:type="dxa" w:w="6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 jogo é um espaço para tentar de novo. Evite usar as medalhas ou o game over para comparar estudantes.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Base legal e normativa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Lei nº 12.764/2012: Política Nacional de Proteção dos Direitos da Pessoa com Transtorno do Espectro Autista.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Lei nº 13.146/2015: Lei Brasileira de Inclusão da Pessoa com Deficiência (Estatuto da Pessoa com Deficiência).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Política Nacional de Educação Especial na Perspectiva da Educação Inclusiva (MEC, 2008), que inclui estudantes com transtorno do espectro autista e com altas habilidades ou superdotação como público da educação especial.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2. Estudantes autistas (TEA)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Recursos do HIDRO (versão 3.4)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Modo calmo (tecla C ou menu PAUSAR)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Liga os dois recursos abaixo de uma vez.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Efeitos reduzidos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Sem relâmpagos, sem tremor de tela, sem o flash branco ao trocar de fase; chuva e escurecimento mais suaves.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Sem relógio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 perigo não cresce com o tempo. Dá para ler, pensar e explorar sem pressão. As decisões perigosas (por exemplo, entrar na água) continuam valendo.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Dificuldade (menu PAUSAR)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Fácil deixa o perigo crescer mais devagar (0,7x), sem desligar o relógio. Útil como passo intermediário antes do modo padrão.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Som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Botão SOM no topo da tela desliga todos os sons.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Alto contraste (tecla H)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Ajuda quem tem sensibilidade visual ou dificuldade de distinguir elementos.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Guia de próximo passo (tecla K)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 seta e a dica indicam o que fazer; quem prefere pode desligar.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Pausa (ESC ou botão PAUSAR)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Pausa a qualquer momento, sem perder o progresso.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Preferências salvas</w:t>
            </w:r>
          </w:p>
        </w:tc>
        <w:tc>
          <w:tcPr>
            <w:tcW w:type="dxa" w:w="6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Guia, contraste, efeitos reduzidos e sem relógio ficam salvos no aparelho.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Limites atuais do jogo (para você planejar)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Os textos dos diálogos são longos e não há narração em áudio: um leitor de apoio pode ajudar.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Há linguagem figurada e expressões populares (por exemplo, bueiro); explique com antecedência.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Não há ajuste do tamanho da letra dentro do jogo; o zoom do navegador ou a tela cheia podem ajudar.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Os controles exigem coordenação. Em dupla, o estudante pode ser navegador em vez de piloto.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Antes da oficina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Converse com a família e com o AEE sobre interesses, preferências e sinais de sobrecarga.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Mostre a agenda visual da oficina e a história social (modelos abaixo).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Ofereça uma experimentação prévia do jogo com o modo calmo ligado, em local calmo.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Escolha o local: menos ruído, luz suave e possibilidade de sair para uma pausa.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Durante a oficina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Avise antes de cada mudança de momento (por exemplo, em 5 minutos vamos jogar).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Use linguagem literal, frases curtas e exemplos concretos. Evite ironia e pegadinhas.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Defina papéis claros na dupla (piloto, navegador, repórter) e permita observar antes de jogar.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Ofereça cartões de comunicação (preciso de pausa, não entendi, quero ajuda, estou bem, barulho alto).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Dê tempo extra para ler e responder. Aceite respostas por escrito, desenho ou escolha entre opções.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 houver sobrecarga, pause sem discutir e retome quando o estudante quiser.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Depois da oficina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Pergunte de forma simples o que funcionou e o que incomodou, e registre para as próximas aulas.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Reconheça o esforço e os interesses do estudante (por exemplo, mapas, regras, sistemas ou sinais).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Ofereça formas alternativas de participar da roda de conversa (escrever, desenhar, escolher cartões).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Agenda visual da oficina (imprima e recorte)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Mostre os cinco passos antes de começar e vá marcando o que já foi feito. Adapte as imagens e os textos ao estudante.</w:t>
      </w:r>
    </w:p>
    <w:p>
      <w:pPr>
        <w:spacing w:after="200"/>
        <w:jc w:val="left"/>
      </w:pPr>
      <w:r>
        <w:drawing>
          <wp:inline distT="0" distB="0" distL="0" distR="0">
            <wp:extent cx="6124575" cy="1600200"/>
            <wp:effectExtent t="0" r="0" b="0" l="0"/>
            <wp:docPr id="1" name="img" descr="Agenda visual em cinco passos: chegar, ver os slides, jogar o HIDRO, conversar e fim da oficina" title="Agenda visual em cinco passos: chegar, ver os slides, jogar o HIDRO, conversar e fim da ofic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História social: hoje vamos jogar o HIDRO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Modelo para ler antes da oficina, com o estudante. Adapte à linguagem dele e inclua as opções que ele escolher. Escreva em primeira pessoa, com frases curtas.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Hoje eu vou participar de uma oficina sobre chuvas fortes.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Primeiro, o professor vai mostrar imagens e explicar o que acontece quando chove muito.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Depois, eu vou jogar um jogo chamado HIDRO no computador ou no celular.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No jogo, eu vou ser o Hidro. Vai aparecer chuva, e pode haver sons e efeitos de tela.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Eu posso ligar o modo calmo. Assim, o jogo fica mais tranquilo e não tem relógio nem relâmpagos.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 eu quiser parar, posso apertar ESC ou o botão PAUSAR. Também posso mostrar o cartão de pausa.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 eu não entender uma parte, posso perguntar ao professor ou à minha dupla.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Quando terminar, vamos conversar sobre o que aprendemos.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Depois, a aula acaba e eu posso descansar.</w:t>
      </w:r>
    </w:p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Cartões de comunicação (imprima e recorte)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Deixe os cartões ao alcance do estudante. Ele pode entregar, apontar ou colocar sobre a mesa. Combine com ele o que cada cartão significa e o que você vai fazer quando o receber.</w:t>
      </w:r>
    </w:p>
    <w:p>
      <w:pPr>
        <w:spacing w:after="100"/>
        <w:jc w:val="center"/>
      </w:pPr>
      <w:r>
        <w:drawing>
          <wp:inline distT="0" distB="0" distL="0" distR="0">
            <wp:extent cx="5400675" cy="4105275"/>
            <wp:effectExtent t="0" r="0" b="0" l="0"/>
            <wp:docPr id="1" name="img" descr="Cartões de comunicação: preciso de pausa, não entendi, quero ajuda, estou bem, barulho alto" title="Cartões de comunicação: preciso de pausa, não entendi, quero ajuda, estou bem, barulho al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3. Estudantes com altas habilidades ou superdotação (AH/SD)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Princípios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 identificação é feita por avaliação especializada. Não rotule estudantes em sala: ofereça o enriquecimento a quem se interessar.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Enriquecer é mais do que dar mais tarefas: é aprofundar, dar autonomia e propor problemas reais.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Alguns estudantes têm dupla condição (altas habilidades e autismo). Combine os apoios deste guia.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Evite usar o estudante como ajudante permanente do professor. Alterne papéis e proponha desafios próprios.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Modelo de enriquecimento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Modelo Triádico de Enriquecimento (Renzulli) organiza a proposta em três tipos de atividade: Tipo I (exploratórias), Tipo II (de treinamento em grupo) e Tipo III (investigações de problemas reais, individuais ou em pequenos grupos).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cantSplit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Tipo I: explorar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Conhecer dados e mapas reais de risco e alertas do seu município (por exemplo, materiais do Serviço Geológico do Brasil e do Cemaden, quando disponíveis). Assistir a uma fala de um agente de Defesa Civil.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Tipo II: treinar habilidades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Método racional para estimar vazão (Q = 0,278 × C × i × A). Leitura de curvas de nível e perfis topográficos. Introdução ao QGIS ou ao Google Earth. Escrita técnica de um relatório curto.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Tipo III: investigar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Diagnóstico de risco da escola ou do bairro com mapa e proposta à gestão. Análise dos registros do Modo Professor da turma. Criação de uma fase e de um quiz para o HIDRO (em papel ou com apoio técnico). Produção de um podcast ou uma apresentação para os 6º anos.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Desafios dentro do jogo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Conquistar ouro em todas as fases, com o guia desligado (tecla K).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Explicar a um colega, sem jogar, por que cada missão vem na ordem em que vem.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Jogar a mesma fase no nível DIFÍCIL (menu PAUSAR) e no Normal, e explicar por escrito o que mudou, usando o conceito de risco.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Onde encontrar as atividades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As atividades de enriquecimento (método racional, mapas com SIG, projeto de design de fase, campanha) estão descritas no Caderno de atividades, nas caixas "Altas habilidades ou superdotação".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4. Desenho Universal para a Aprendizagem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569"/>
        <w:gridCol w:w="3569"/>
      </w:tblGrid>
      <w:tr>
        <w:trPr>
          <w:cantSplit/>
          <w:tblHeader/>
        </w:trPr>
        <w:tc>
          <w:tcPr>
            <w:tcW w:type="dxa" w:w="2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Princípio (DUA)</w:t>
            </w:r>
          </w:p>
        </w:tc>
        <w:tc>
          <w:tcPr>
            <w:tcW w:type="dxa" w:w="356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HIDRO e a oficina oferecem</w:t>
            </w:r>
          </w:p>
        </w:tc>
        <w:tc>
          <w:tcPr>
            <w:tcW w:type="dxa" w:w="356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você pode ampliar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Múltiplos meios de engajamento</w:t>
            </w:r>
          </w:p>
        </w:tc>
        <w:tc>
          <w:tcPr>
            <w:tcW w:type="dxa" w:w="356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Escolha de fase, medalhas, dificuldade ajustável, modo calmo, conversas de mito ou verdade.</w:t>
            </w:r>
          </w:p>
        </w:tc>
        <w:tc>
          <w:tcPr>
            <w:tcW w:type="dxa" w:w="356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Deixe escolher o fenômeno, o parceiro, o nível de dificuldade e o formato da atividade final.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Múltiplos meios de representação</w:t>
            </w:r>
          </w:p>
        </w:tc>
        <w:tc>
          <w:tcPr>
            <w:tcW w:type="dxa" w:w="356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Texto, imagens, mapa, gráficos, diagramas, glossário e sons.</w:t>
            </w:r>
          </w:p>
        </w:tc>
        <w:tc>
          <w:tcPr>
            <w:tcW w:type="dxa" w:w="356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Adicione leitura em voz alta, legendas, cartões com pictogramas e objetos concretos.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Múltiplos meios de ação e expressão</w:t>
            </w:r>
          </w:p>
        </w:tc>
        <w:tc>
          <w:tcPr>
            <w:tcW w:type="dxa" w:w="356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Jogo, quiz, conversas, cartão de emergência.</w:t>
            </w:r>
          </w:p>
        </w:tc>
        <w:tc>
          <w:tcPr>
            <w:tcW w:type="dxa" w:w="356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Aceite desenho, fala, escrita, maquete, vídeo curto ou cartões como resposta.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5. Checklist do professor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38"/>
        <w:gridCol w:w="1100"/>
      </w:tblGrid>
      <w:tr>
        <w:trPr>
          <w:cantSplit/>
          <w:tblHeader/>
        </w:trPr>
        <w:tc>
          <w:tcPr>
            <w:tcW w:type="dxa" w:w="85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Antes da oficina inclusiva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Feito</w:t>
            </w:r>
          </w:p>
        </w:tc>
      </w:tr>
      <w:tr>
        <w:trPr>
          <w:cantSplit/>
          <w:trHeight w:val="520" w:hRule="atLeast"/>
        </w:trPr>
        <w:tc>
          <w:tcPr>
            <w:tcW w:type="dxa" w:w="85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Conversei com a família e com o AEE?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20" w:hRule="atLeast"/>
        </w:trPr>
        <w:tc>
          <w:tcPr>
            <w:tcW w:type="dxa" w:w="85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O local tem menos ruído e uma área para pausa?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20" w:hRule="atLeast"/>
        </w:trPr>
        <w:tc>
          <w:tcPr>
            <w:tcW w:type="dxa" w:w="85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Testei o jogo e as configurações de acessibilidade (tecla C, SOM, tecla H)?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20" w:hRule="atLeast"/>
        </w:trPr>
        <w:tc>
          <w:tcPr>
            <w:tcW w:type="dxa" w:w="85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Preparei agenda visual, história social e cartões de comunicação?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20" w:hRule="atLeast"/>
        </w:trPr>
        <w:tc>
          <w:tcPr>
            <w:tcW w:type="dxa" w:w="85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Defini papéis claros na dupla e um sinal para pausa?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20" w:hRule="atLeast"/>
        </w:trPr>
        <w:tc>
          <w:tcPr>
            <w:tcW w:type="dxa" w:w="85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Tenho atividades de enriquecimento para quem terminar antes ou quiser aprofundar?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6. Ficha de apoio para a oficina (preencher com a família e o AEE)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1"/>
          <w:szCs w:val="21"/>
        </w:rPr>
        <w:t xml:space="preserve">Esta ficha não é um laudo nem um plano individual. Serve para combinar apoios com o estudante. Guarde-a com cuidado e compartilhe apenas com quem precisa.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038"/>
      </w:tblGrid>
      <w:tr>
        <w:trPr>
          <w:cantSplit/>
          <w:trHeight w:val="9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Estudante (iniciais)</w:t>
            </w:r>
          </w:p>
        </w:tc>
        <w:tc>
          <w:tcPr>
            <w:tcW w:type="dxa" w:w="6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 que ajuda (informado pela família e pelo estudante)</w:t>
            </w:r>
          </w:p>
        </w:tc>
        <w:tc>
          <w:tcPr>
            <w:tcW w:type="dxa" w:w="6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 que costuma incomodar</w:t>
            </w:r>
          </w:p>
        </w:tc>
        <w:tc>
          <w:tcPr>
            <w:tcW w:type="dxa" w:w="6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Sinais de sobrecarga</w:t>
            </w:r>
          </w:p>
        </w:tc>
        <w:tc>
          <w:tcPr>
            <w:tcW w:type="dxa" w:w="6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Como pausar e retomar</w:t>
            </w:r>
          </w:p>
        </w:tc>
        <w:tc>
          <w:tcPr>
            <w:tcW w:type="dxa" w:w="6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Adaptações da oficina</w:t>
            </w:r>
          </w:p>
        </w:tc>
        <w:tc>
          <w:tcPr>
            <w:tcW w:type="dxa" w:w="6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3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Contato de apoio (AEE)</w:t>
            </w:r>
          </w:p>
        </w:tc>
        <w:tc>
          <w:tcPr>
            <w:tcW w:type="dxa" w:w="6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7. Referências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CAST. Universal Design for Learning Guidelines version 2.2. 2018. Disponível em: https://udlguidelines.cast.org.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RENZULLI, J. S. The Enrichment Triad Model: a guide for developing defensible programs for the gifted and talented. Mansfield Center: Creative Learning Press, 1977.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Lei nº 12.764, de 27 de dezembro de 2012.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Lei nº 13.146, de 6 de julho de 2015.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Ministério da Educação. Política Nacional de Educação Especial na Perspectiva da Educação Inclusiva. Brasília: MEC/SEESP, 2008.</w:t>
      </w:r>
    </w:p>
    <w:p>
      <w:pPr>
        <w:spacing w:after="100"/>
      </w:pP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Material do projeto HIDRO: Redução de Riscos. Autoria: Antonio Idêrlian Pereira de Sousa. Contato: antonioiderlian@outlook.com | antoniosousa@ufgd.edu.br. Este guia é uma orientação pedagógica e não substitui a avaliação de profissionais especializados.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4A5A73"/>
        <w:sz w:val="16"/>
        <w:szCs w:val="16"/>
      </w:rPr>
      <w:t xml:space="preserve">Antonio Idêrlian Pereira de Sousa   |   Página </w:t>
    </w:r>
    <w:r>
      <w:rPr>
        <w:rFonts w:ascii="Calibri" w:cs="Calibri" w:eastAsia="Calibri" w:hAnsi="Calibri"/>
        <w:color w:val="4A5A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6" w:space="4"/>
      </w:pBdr>
      <w:spacing w:after="0"/>
    </w:pPr>
    <w:r>
      <w:rPr>
        <w:rFonts w:ascii="Calibri" w:cs="Calibri" w:eastAsia="Calibri" w:hAnsi="Calibri"/>
        <w:b/>
        <w:bCs/>
        <w:color w:val="1B78A8"/>
        <w:sz w:val="18"/>
        <w:szCs w:val="18"/>
      </w:rPr>
      <w:t xml:space="preserve">HIDRO: Redução de Riscos</w:t>
    </w:r>
    <w:r>
      <w:rPr>
        <w:rFonts w:ascii="Calibri" w:cs="Calibri" w:eastAsia="Calibri" w:hAnsi="Calibri"/>
        <w:color w:val="4A5A73"/>
        <w:sz w:val="18"/>
        <w:szCs w:val="18"/>
      </w:rPr>
      <w:t xml:space="preserve">   |   Guia de inclusão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d9613b0cfa4d945ed10552a1853c4dcc773189.png"/><Relationship Id="rId10" Type="http://schemas.openxmlformats.org/officeDocument/2006/relationships/image" Target="media/6001948cdd996b3f3809a7ef5f21d90a49237e31.png"/><Relationship Id="rId11" Type="http://schemas.openxmlformats.org/officeDocument/2006/relationships/image" Target="media/687f719f89e99e954debf2c3cff16cfa9a217f04.png"/><Relationship Id="rId12" Type="http://schemas.openxmlformats.org/officeDocument/2006/relationships/image" Target="media/054e9b53785b71955df049dd5dd2bacafed7d557.png"/><Relationship Id="rId13" Type="http://schemas.openxmlformats.org/officeDocument/2006/relationships/image" Target="media/fef16bc9e32e13bdafa7bbe797382eaac0a85a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inclusão</dc:title>
  <dc:creator>Antonio Idêrlian Pereira de Sousa</dc:creator>
  <dc:description>Material do projeto HIDRO: Redução de Riscos</dc:description>
  <cp:lastModifiedBy>Un-named</cp:lastModifiedBy>
  <cp:revision>1</cp:revision>
  <dcterms:created xsi:type="dcterms:W3CDTF">2026-09-22T11:35:33.991Z</dcterms:created>
  <dcterms:modified xsi:type="dcterms:W3CDTF">2026-09-22T11:35:33.992Z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