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0F1B2E" w:sz="0"/>
              <w:left w:val="none" w:color="0F1B2E" w:sz="0"/>
              <w:bottom w:val="single" w:color="F5C451" w:sz="36"/>
              <w:right w:val="none" w:color="0F1B2E" w:sz="0"/>
            </w:tcBorders>
            <w:shd w:fill="0F1B2E" w:color="auto" w:val="clear"/>
            <w:tcMar>
              <w:top w:type="dxa" w:w="260"/>
              <w:left w:type="dxa" w:w="300"/>
              <w:bottom w:type="dxa" w:w="280"/>
              <w:right w:type="dxa" w:w="300"/>
            </w:tcMar>
          </w:tcPr>
          <w:p>
            <w:pPr>
              <w:spacing w:after="120" w:before="0" w:line="300"/>
            </w:pPr>
            <w:r>
              <w:rPr>
                <w:rFonts w:ascii="Calibri" w:cs="Calibri" w:eastAsia="Calibri" w:hAnsi="Calibri"/>
                <w:b/>
                <w:bCs/>
                <w:color w:val="F5C451"/>
                <w:sz w:val="18"/>
                <w:szCs w:val="18"/>
              </w:rPr>
              <w:t xml:space="preserve">MATERIAL DO APLICADOR</w:t>
            </w:r>
          </w:p>
          <w:p>
            <w:pPr>
              <w:spacing w:after="120" w:before="40" w:line="300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Aplicação e avaliação do HIDRO com agentes e pesquisadores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BFE3F6"/>
                <w:sz w:val="24"/>
                <w:szCs w:val="24"/>
              </w:rPr>
              <w:t xml:space="preserve">Instrumentos para a oficina do Seminário RRD 2026: experiência, intenção de uso e validação de conteúdo por especialistas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28650"/>
                  <wp:effectExtent t="0" r="0" b="0" l="0"/>
                  <wp:docPr id="1" name="img" descr="Logo da UFGD" title="Logo da 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66750"/>
                  <wp:effectExtent t="0" r="0" b="0" l="0"/>
                  <wp:docPr id="1" name="img" descr="Logo da FCA/UFGD" title="Logo da FCA/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19125"/>
                  <wp:effectExtent t="0" r="0" b="0" l="0"/>
                  <wp:docPr id="1" name="img" descr="Logo do PPGG/UFGD" title="Logo do PPGG/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Leia antes de aplicar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Este material propõe uma coleta de dados durante a oficina. Se os dados forem usados em pesquisa ou publicação, é preciso aprovação em Comitê de Ética em Pesquisa (CEP) e consentimento dos participantes. Se a intenção for apenas uma devolutiva para aperfeiçoar o jogo, use formulários anônimos, sem identificadores, e explique a finalidade. Consulte o CEP da sua instituição para saber em qual caso a oficina se enquadra. As escalas foram elaboradas para esta oficina e não foram validadas estatisticamente.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1. Para que serve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Conhecer a experiência de agentes e pesquisadores ao jogar o HIDRO (facilidade, atenção, desconforto e adequação ao público).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Validar o conteúdo técnico do jogo com especialistas: conceitos, protocolo, cenários, linguagem e aplicabilidade escolar.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Levantar a intenção de uso do jogo em ações educativas e as condições necessárias.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Identificar correções e adaptações regionais antes de levar o jogo a mais escolas.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2. Como aplicar na oficina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3000"/>
        <w:gridCol w:w="5438"/>
      </w:tblGrid>
      <w:tr>
        <w:trPr>
          <w:cantSplit/>
          <w:tblHeader/>
        </w:trPr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Tempo</w:t>
            </w:r>
          </w:p>
        </w:tc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5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4 min</w:t>
            </w:r>
          </w:p>
        </w:tc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Finalidade e consentimento</w:t>
            </w:r>
          </w:p>
        </w:tc>
        <w:tc>
          <w:tcPr>
            <w:tcW w:type="dxa" w:w="5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Explique a finalidade, leia o aviso (ou o TCLE aprovado) e entregue o código do participante. Faz parte da abertura da oficina.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3 min</w:t>
            </w:r>
          </w:p>
        </w:tc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Perfil e pré</w:t>
            </w:r>
          </w:p>
        </w:tc>
        <w:tc>
          <w:tcPr>
            <w:tcW w:type="dxa" w:w="5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Instrumentos 1 e 2. Sem identificar o nome. Faz parte da abertura da oficina.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20 min</w:t>
            </w:r>
          </w:p>
        </w:tc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Jogo com observação técnica</w:t>
            </w:r>
          </w:p>
        </w:tc>
        <w:tc>
          <w:tcPr>
            <w:tcW w:type="dxa" w:w="5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Duplas jogam uma fase e anotam problemas técnicos (Instrumento 5).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7 min</w:t>
            </w:r>
          </w:p>
        </w:tc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Pós: experiência e intenção de uso</w:t>
            </w:r>
          </w:p>
        </w:tc>
        <w:tc>
          <w:tcPr>
            <w:tcW w:type="dxa" w:w="5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Instrumento 3 (e repetição dos itens do Instrumento 2).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10 min</w:t>
            </w:r>
          </w:p>
        </w:tc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Validação de conteúdo</w:t>
            </w:r>
          </w:p>
        </w:tc>
        <w:tc>
          <w:tcPr>
            <w:tcW w:type="dxa" w:w="5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Instrumento 4, individual.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min</w:t>
            </w:r>
          </w:p>
        </w:tc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Roda de conversa</w:t>
            </w:r>
          </w:p>
        </w:tc>
        <w:tc>
          <w:tcPr>
            <w:tcW w:type="dxa" w:w="5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Instrumento 6, com registro de anotações.</w:t>
            </w:r>
          </w:p>
        </w:tc>
      </w:tr>
    </w:tbl>
    <w:p>
      <w:pPr>
        <w:spacing w:after="8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Formato.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Os instrumentos podem ser impressos ou digitados em um formulário online (por exemplo, Google Formulários ou LimeSurvey). Se usar formulário online, não peça nome nem e-mail. A planilha que acompanha este material calcula os resultados a partir dos códigos dos participantes.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Sugestão de organização.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Imprima uma ficha por participante com o código escrito (P01, P02...), e as fichas de observação técnica por dupla.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3. Aviso ao participante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C451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Texto-modelo para leitura em voz alta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Você está sendo convidado(a) a participar, de forma voluntária e anônima, da avaliação do jogo educativo HIDRO durante esta oficina.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Você jogará por cerca de 20 minutos e responderá a questionários curtos sobre a sua experiência, a intenção de uso e a adequação do conteúdo técnico. Não há respostas certas ou erradas.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Você pode desistir a qualquer momento, sem qualquer prejuízo. Não pediremos o seu nome nos questionários: você usará apenas um código.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O jogo não coleta dados pessoais. As respostas serão usadas para aperfeiçoar o jogo e, se houver aprovação do Comitê de Ética, em pesquisa, sempre de forma agrupada.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Riscos: cansaço ou desconforto leve ao tratar de desastres. Benefício: contribuir para melhorar um material educativo para a redução de riscos.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Contato: Antonio Idêrlian Pereira de Sousa (antonioiderlian@outlook.com | antoniosousa@ufgd.edu.br).</w:t>
            </w:r>
          </w:p>
        </w:tc>
      </w:tr>
    </w:tbl>
    <w:p>
      <w:pPr>
        <w:spacing w:after="120" w:before="8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Este é um texto-modelo. Adapte-o ao modelo de TCLE do CEP da sua instituição antes de usar em pesquisa.</w:t>
      </w:r>
    </w:p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1: Perfil do participante (opcional e anônimo)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Código: ______________   Data: ___/___/______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438"/>
      </w:tblGrid>
      <w:tr>
        <w:trPr>
          <w:cantSplit/>
          <w:trHeight w:val="800" w:hRule="atLeast"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Código do participante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(entregue pelo aplicador)</w:t>
            </w:r>
          </w:p>
        </w:tc>
      </w:tr>
      <w:tr>
        <w:trPr>
          <w:cantSplit/>
          <w:trHeight w:val="800" w:hRule="atLeast"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Atuação principal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( ) Agente de proteção e defesa civil   ( ) Pesquisador(a)   ( ) Professor(a) ou gestor(a) escolar   ( ) Outro: ____________</w:t>
            </w:r>
          </w:p>
        </w:tc>
      </w:tr>
      <w:tr>
        <w:trPr>
          <w:cantSplit/>
          <w:trHeight w:val="800" w:hRule="atLeast"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Esfera ou vínculo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( ) Municipal   ( ) Estadual   ( ) Federal   ( ) Universidade ou instituto de pesquisa   ( ) Outro</w:t>
            </w:r>
          </w:p>
        </w:tc>
      </w:tr>
      <w:tr>
        <w:trPr>
          <w:cantSplit/>
          <w:trHeight w:val="800" w:hRule="atLeast"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Tempo de atuação na área de riscos e desastres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( ) menos de 2 anos   ( ) 2 a 5 anos   ( ) 6 a 10 anos   ( ) mais de 10 anos</w:t>
            </w:r>
          </w:p>
        </w:tc>
      </w:tr>
      <w:tr>
        <w:trPr>
          <w:cantSplit/>
          <w:trHeight w:val="800" w:hRule="atLeast"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Já realizou ações educativas em escolas?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( ) Sim   ( ) Não</w:t>
            </w:r>
          </w:p>
        </w:tc>
      </w:tr>
      <w:tr>
        <w:trPr>
          <w:cantSplit/>
          <w:trHeight w:val="800" w:hRule="atLeast"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Já usou jogos digitais em ações educativas?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( ) Sim   ( ) Não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2: Confiança para usar jogos em ações educativas (pré e pós)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Marque de 1 (discordo totalmente) a 5 (concordo totalmente). Responda antes e depois da oficina.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38"/>
        <w:gridCol w:w="400"/>
        <w:gridCol w:w="400"/>
        <w:gridCol w:w="400"/>
        <w:gridCol w:w="400"/>
        <w:gridCol w:w="400"/>
        <w:gridCol w:w="400"/>
        <w:gridCol w:w="400"/>
        <w:gridCol w:w="400"/>
        <w:gridCol w:w="400"/>
        <w:gridCol w:w="400"/>
      </w:tblGrid>
      <w:tr>
        <w:trPr>
          <w:cantSplit/>
          <w:tblHeader/>
        </w:trPr>
        <w:tc>
          <w:tcPr>
            <w:tcW w:type="dxa" w:w="5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Afirmação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Pré 1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Pré 2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Pré 3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Pré 4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Pré 5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Pós 1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Pós 2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Pós 3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Pós 4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Pós 5</w:t>
            </w:r>
          </w:p>
        </w:tc>
      </w:tr>
      <w:tr>
        <w:trPr>
          <w:cantSplit/>
          <w:trHeight w:val="600" w:hRule="atLeast"/>
        </w:trPr>
        <w:tc>
          <w:tcPr>
            <w:tcW w:type="dxa" w:w="5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Sei explicar a estudantes do ensino fundamental a diferença entre alagamento, enxurrada, enchente e deslizamento.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00" w:hRule="atLeast"/>
        </w:trPr>
        <w:tc>
          <w:tcPr>
            <w:tcW w:type="dxa" w:w="5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Sei como um jogo digital pode ser usado em uma ação educativa sobre riscos de desastres.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00" w:hRule="atLeast"/>
        </w:trPr>
        <w:tc>
          <w:tcPr>
            <w:tcW w:type="dxa" w:w="5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Consigo planejar uma atividade com o HIDRO em parceria com uma escola.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00" w:hRule="atLeast"/>
        </w:trPr>
        <w:tc>
          <w:tcPr>
            <w:tcW w:type="dxa" w:w="5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Sei adaptar uma atividade educativa para estudantes autistas ou com altas habilidades.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00" w:hRule="atLeast"/>
        </w:trPr>
        <w:tc>
          <w:tcPr>
            <w:tcW w:type="dxa" w:w="5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Sei como avaliar se uma ação educativa com jogo foi efetiva.</w:t>
            </w: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120" w:before="80" w:line="276"/>
      </w:pPr>
      <w:r>
        <w:rPr>
          <w:rFonts w:ascii="Calibri" w:cs="Calibri" w:eastAsia="Calibri" w:hAnsi="Calibri"/>
          <w:color w:val="4A5A73"/>
          <w:sz w:val="18"/>
          <w:szCs w:val="18"/>
        </w:rPr>
        <w:t xml:space="preserve">1 = discordo totalmente   2 = discordo   3 = nem concordo nem discordo   4 = concordo   5 = concordo totalmente. Preencha a coluna "Pré" antes do jogo e a coluna "Pós" ao final.</w:t>
      </w:r>
    </w:p>
    <w:p>
      <w:pPr>
        <w:spacing w:after="40" w:before="10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O que você espera desta oficina?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700" w:hRule="atLeast"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3: Experiência com o jogo, intenção de uso e utilidade (pós)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Código: ______________   Data: ___/___/______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Marque de 1 (discordo totalmente) a 5 (concordo totalmente).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Experiência com o jogo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38"/>
        <w:gridCol w:w="640"/>
        <w:gridCol w:w="640"/>
        <w:gridCol w:w="640"/>
        <w:gridCol w:w="640"/>
        <w:gridCol w:w="640"/>
      </w:tblGrid>
      <w:tr>
        <w:trPr>
          <w:cantSplit/>
          <w:tblHeader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Afirmação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1. Foi fácil entender o que eu precisava fazer no jogo.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2. Os controles foram fáceis de usar.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3. Os textos foram claros.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4. O jogo prendeu a minha atenção.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5. O jogo me fez refletir sobre as decisões em uma emergência.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6. O tempo de cada fase foi adequado.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7. Senti-me desconfortável ou sobrecarregado(a) em algum momento.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8. Os sons, as luzes ou os efeitos me incomodaram.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9. O jogo é adequado para estudantes do 6º ao 9º ano.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10. Eu recomendaria o jogo a professores e escolas.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Intenção de uso e utilidade percebida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38"/>
        <w:gridCol w:w="640"/>
        <w:gridCol w:w="640"/>
        <w:gridCol w:w="640"/>
        <w:gridCol w:w="640"/>
        <w:gridCol w:w="640"/>
      </w:tblGrid>
      <w:tr>
        <w:trPr>
          <w:cantSplit/>
          <w:tblHeader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Afirmação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1. Pretendo apresentar o HIDRO a escolas ou professores com quem atuo.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2. Usaria o jogo em uma ação educativa (palestra, oficina, semana de prevenção).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3. Gostaria de participar de um estudo sobre o uso do jogo.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4. O jogo complementa as ações educativas que eu já realizo ou conheço.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5. O plano de aula e as atividades facilitam a aplicação com uma turma.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380" w:hRule="atLeast"/>
        </w:trPr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8"/>
                <w:szCs w:val="18"/>
              </w:rPr>
              <w:t xml:space="preserve">6. O Modo Professor ajuda a acompanhar as decisões e a aprendizagem.</w:t>
            </w: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64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40" w:before="60" w:line="276"/>
      </w:pPr>
      <w:r>
        <w:rPr>
          <w:rFonts w:ascii="Calibri" w:cs="Calibri" w:eastAsia="Calibri" w:hAnsi="Calibri"/>
          <w:color w:val="4A5A73"/>
          <w:sz w:val="17"/>
          <w:szCs w:val="17"/>
        </w:rPr>
        <w:t xml:space="preserve">Nota de análise.</w:t>
      </w:r>
      <w:r>
        <w:rPr>
          <w:rFonts w:ascii="Calibri" w:cs="Calibri" w:eastAsia="Calibri" w:hAnsi="Calibri"/>
          <w:color w:val="4A5A73"/>
          <w:sz w:val="17"/>
          <w:szCs w:val="17"/>
        </w:rPr>
        <w:t xml:space="preserve"> Os itens 7 e 8 da experiência são negativos: valores altos indicam mais desconforto. Analise-os separadamente, sem somá-los aos demais.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O que você mais valoriza no jogo?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O que precisa ser corrigido ou melhorado antes de levar o jogo a uma escola?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Que informação técnica precisaria ser adaptada à realidade do seu município?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4: Validação de conteúdo por especialistas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Código: ______________   Data: ___/___/______   Área de atuação: ______________________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Avalie cada item de 1 a 4. Se marcar 1 ou 2, escreva a sugestão de ajuste no campo de comentário. Você pode avaliar somente os itens que se relacionam à sua área.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rPr>
          <w:cantSplit/>
          <w:tblHeader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  <w:tc>
          <w:tcPr>
            <w:tcW w:type="dxa" w:w="87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1</w:t>
            </w:r>
          </w:p>
        </w:tc>
        <w:tc>
          <w:tcPr>
            <w:tcW w:type="dxa" w:w="87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Inadequado ou irrelevante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2</w:t>
            </w:r>
          </w:p>
        </w:tc>
        <w:tc>
          <w:tcPr>
            <w:tcW w:type="dxa" w:w="87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Precisa de revisão importante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3</w:t>
            </w:r>
          </w:p>
        </w:tc>
        <w:tc>
          <w:tcPr>
            <w:tcW w:type="dxa" w:w="87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Adequado, com pequenos ajustes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4</w:t>
            </w:r>
          </w:p>
        </w:tc>
        <w:tc>
          <w:tcPr>
            <w:tcW w:type="dxa" w:w="87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Totalmente adequado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A. Precisão técnica dos conceitos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58"/>
        <w:gridCol w:w="520"/>
        <w:gridCol w:w="520"/>
        <w:gridCol w:w="520"/>
        <w:gridCol w:w="520"/>
        <w:gridCol w:w="2600"/>
      </w:tblGrid>
      <w:tr>
        <w:trPr>
          <w:cantSplit/>
          <w:tblHeader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Comentário ou sugestão</w:t>
            </w: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A1. A definição e a diferenciação de alagamento, enxurrada, enchente (inundação) e deslizamento estão corretas.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A2. A explicação de infiltração, escoamento superficial e microdrenagem está correta e adequada ao público.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A3. Os termos técnicos (boca de lobo, poço de visita, tampão, galeria de águas pluviais, cota do rio, talude) estão usados corretamente, com o nome popular indicado.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A4. Os sinais de alerta (rachaduras, árvore ou poste inclinado, estalos, subida do rio) estão corretos.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B. Protocolo de autoproteção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58"/>
        <w:gridCol w:w="520"/>
        <w:gridCol w:w="520"/>
        <w:gridCol w:w="520"/>
        <w:gridCol w:w="520"/>
        <w:gridCol w:w="2600"/>
      </w:tblGrid>
      <w:tr>
        <w:trPr>
          <w:cantSplit/>
          <w:tblHeader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Comentário ou sugestão</w:t>
            </w: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B1. A sequência proteja-se, avise a Defesa Civil (199) e aja com segurança é adequada ao público-alvo.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B2. As orientações sobre energia elétrica (desligar o disjuntor antes de a água atingir as tomadas) estão corretas.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B3. As orientações de não entrar na água, não voltar para buscar objetos e evacuar cedo estão corretas.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B4. A mochila de emergência e o Cartão de Emergência trazem itens e orientações adequados.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B5. Os números de telefone citados (199, 193, 192 e 190) e as menções a alertas estão corretos ou são adaptáveis ao município.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C. Cenários e situações do jogo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58"/>
        <w:gridCol w:w="520"/>
        <w:gridCol w:w="520"/>
        <w:gridCol w:w="520"/>
        <w:gridCol w:w="520"/>
        <w:gridCol w:w="2600"/>
      </w:tblGrid>
      <w:tr>
        <w:trPr>
          <w:cantSplit/>
          <w:tblHeader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Comentário ou sugestão</w:t>
            </w: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C1. A fase de alagamento representa de forma realista a situação e as decisões possíveis.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C2. A fase de enxurrada representa de forma realista o perigo da correnteza e a rota segura.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C3. A fase de enchente representa de forma realista a subida do rio e o tempo disponível para agir.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C4. A fase de deslizamento representa de forma realista os sinais, a evacuação e o perigo do talude.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C5. Os perigos físicos do jogo (poço de visita sem tampão, correnteza e talude) transmitem a mensagem correta.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D. Linguagem e mensagens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58"/>
        <w:gridCol w:w="520"/>
        <w:gridCol w:w="520"/>
        <w:gridCol w:w="520"/>
        <w:gridCol w:w="520"/>
        <w:gridCol w:w="2600"/>
      </w:tblGrid>
      <w:tr>
        <w:trPr>
          <w:cantSplit/>
          <w:tblHeader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Comentário ou sugestão</w:t>
            </w: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D1. A linguagem é clara e adequada a estudantes do 6º ao 9º ano.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D2. As afirmações de mito ou verdade e as explicações são corretas e úteis.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D3. As mensagens de erro (game over) explicam sem culpar e sem causar medo excessivo.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D4. O quiz e o glossário são corretos e coerentes com o conteúdo do jogo.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E. Adequação pedagógica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58"/>
        <w:gridCol w:w="520"/>
        <w:gridCol w:w="520"/>
        <w:gridCol w:w="520"/>
        <w:gridCol w:w="520"/>
        <w:gridCol w:w="2600"/>
      </w:tblGrid>
      <w:tr>
        <w:trPr>
          <w:cantSplit/>
          <w:tblHeader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Comentário ou sugestão</w:t>
            </w: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E1. Os objetivos de aprendizagem são claros e coerentes com a educação para redução de riscos.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E2. A pressão de tempo (relógio) é adequada e o modo sem relógio é uma alternativa útil.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E3. O jogo pode ser integrado a ações educativas existentes (palestras, oficinas, semana de prevenção).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F. Aplicabilidade e inclusão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58"/>
        <w:gridCol w:w="520"/>
        <w:gridCol w:w="520"/>
        <w:gridCol w:w="520"/>
        <w:gridCol w:w="520"/>
        <w:gridCol w:w="2600"/>
      </w:tblGrid>
      <w:tr>
        <w:trPr>
          <w:cantSplit/>
          <w:tblHeader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Comentário ou sugestão</w:t>
            </w: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F1. O plano de aula e as atividades são viáveis em escolas públicas.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F2. O jogo funciona bem com poucos aparelhos e em ambientes com poucos recursos.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60" w:hRule="atLeast"/>
        </w:trPr>
        <w:tc>
          <w:tcPr>
            <w:tcW w:type="dxa" w:w="495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F3. As opções de acessibilidade (modo calmo, som e alto contraste) são adequadas.</w:t>
            </w: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52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120" w:before="80" w:line="276"/>
      </w:pPr>
      <w:r>
        <w:rPr>
          <w:rFonts w:ascii="Calibri" w:cs="Calibri" w:eastAsia="Calibri" w:hAnsi="Calibri"/>
          <w:color w:val="4A5A73"/>
          <w:sz w:val="18"/>
          <w:szCs w:val="18"/>
        </w:rPr>
        <w:t xml:space="preserve">Total: 24 itens.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5: Ficha de observação técnica (durante o jogo)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Dupla ou código: ______________   Fase jogada: ______________   Data: ___/___/______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Anote o que chamar a atenção enquanto joga. Tipos: conceito, terminologia, protocolo, realismo, linguagem, técnico (erro ou falha) e acessibilidade. Gravidade: baixa, média ou alta.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300"/>
        <w:gridCol w:w="1300"/>
        <w:gridCol w:w="1100"/>
        <w:gridCol w:w="2438"/>
      </w:tblGrid>
      <w:tr>
        <w:trPr>
          <w:cantSplit/>
          <w:tblHeader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 ou tela</w:t>
            </w: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observei</w:t>
            </w: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Gravidade</w:t>
            </w: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Sugestão</w:t>
            </w:r>
          </w:p>
        </w:tc>
      </w:tr>
      <w:tr>
        <w:trPr>
          <w:cantSplit/>
          <w:trHeight w:val="80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80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80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80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80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80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80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80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800" w:hRule="atLeast"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Instrumento 6: Roteiro da roda de conversa (10 min)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que o jogo faz bem para ensinar decisão e protocolo?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que você mudaria antes de levá-lo a uma escola?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Que adaptações locais seriam necessárias no seu município (fenômenos, telefones, alertas)?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Como a sua instituição poderia apoiar o uso do jogo nas escolas?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Que evidências você gostaria de ver para recomendar o jogo?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Que pesquisa faria sentido fazer em parceria?</w:t>
      </w:r>
    </w:p>
    <w:p>
      <w:pPr>
        <w:spacing w:after="120" w:before="10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Registro do aplicador.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Anote as falas sem identificar quem falou. Ao final, leia em voz alta o resumo e pergunte se algo importante ficou de fora.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4600" w:hRule="atLeast"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Anotações da roda de conversa: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4. Como analisar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Índice de validade de conteúdo por item (I-CVI)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Número de especialistas que atribuíram nota 3 ou 4 dividido pelo total de especialistas que avaliaram o item.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Referência do I-CVI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Com até 5 especialistas, o usual é exigir concordância total (1,00). Com 6 ou mais, o valor de referência é I-CVI ≥ 0,78 (Lynn, 1986). Itens abaixo do valor devem ser revisados.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Índice geral (S-CVI/Ave)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Média dos I-CVI de todos os itens (ou de cada dimensão). Referência usual: ≥ 0,90 (Polit; Beck, 2006).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Pré e pós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Compare as médias dos cinco itens de confiança antes e depois. Com poucos participantes, apresente os dados de forma descritiva e, se quiser testar, use o teste de Wilcoxon para amostras pareadas.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Experiência e intenção de uso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Apresente a porcentagem de concordância (notas 4 e 5) por item. Analise os itens negativos separadamente.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Comentários e observações técnicas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Leia todos, agrupe por tipo e gravidade e registre no quadro de decisões o que será mantido, ajustado ou removido.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Limites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O índice de validade de conteúdo avalia adequação e relevância segundo especialistas; não mede aprendizagem nem substitui um estudo com estudantes.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Uma turma de oficina é uma amostra de conveniência e pequena: não generalize.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A participação é voluntária e o grupo pode ter mais interesse em jogos do que a média.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As escalas de confiança e experiência não foram validadas.</w:t>
            </w:r>
          </w:p>
        </w:tc>
      </w:tr>
    </w:tbl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Quadro de decisões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Registre o que será feito a partir da avaliação, por item com I-CVI abaixo da referência ou com sugestões relevantes.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900"/>
        <w:gridCol w:w="2700"/>
        <w:gridCol w:w="2100"/>
        <w:gridCol w:w="1300"/>
        <w:gridCol w:w="1338"/>
      </w:tblGrid>
      <w:tr>
        <w:trPr>
          <w:cantSplit/>
          <w:tblHeader/>
        </w:trPr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Item</w:t>
            </w: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I-CVI</w:t>
            </w:r>
          </w:p>
        </w:tc>
        <w:tc>
          <w:tcPr>
            <w:tcW w:type="dxa" w:w="2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Sugestão dos especialistas</w:t>
            </w:r>
          </w:p>
        </w:tc>
        <w:tc>
          <w:tcPr>
            <w:tcW w:type="dxa" w:w="2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Decisão (manter, ajustar ou remover)</w:t>
            </w: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Responsável</w:t>
            </w:r>
          </w:p>
        </w:tc>
        <w:tc>
          <w:tcPr>
            <w:tcW w:type="dxa" w:w="1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Versão do jogo</w:t>
            </w:r>
          </w:p>
        </w:tc>
      </w:tr>
      <w:tr>
        <w:trPr>
          <w:cantSplit/>
          <w:trHeight w:val="480" w:hRule="atLeast"/>
        </w:trPr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80" w:hRule="atLeast"/>
        </w:trPr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80" w:hRule="atLeast"/>
        </w:trPr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Referências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LYNN, M. R. Determination and quantification of content validity. Nursing Research, v. 35, n. 6, p. 382-386, 1986.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POLIT, D. F.; BECK, C. T. The content validity index: are you sure you know what's being reported? Critique and recommendations. Research in Nursing &amp; Health, v. 29, n. 5, p. 489-497, 2006.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BRASIL. Conselho Nacional de Saúde. Resolução nº 510, de 7 de abril de 2016.</w:t>
      </w:r>
    </w:p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Calibri" w:cs="Calibri" w:eastAsia="Calibri" w:hAnsi="Calibri"/>
        <w:color w:val="4A5A73"/>
        <w:sz w:val="16"/>
        <w:szCs w:val="16"/>
      </w:rPr>
      <w:t xml:space="preserve">Antonio Idêrlian Pereira de Sousa   |   Página </w:t>
    </w:r>
    <w:r>
      <w:rPr>
        <w:rFonts w:ascii="Calibri" w:cs="Calibri" w:eastAsia="Calibri" w:hAnsi="Calibri"/>
        <w:color w:val="4A5A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4" w:sz="6" w:space="4"/>
      </w:pBdr>
      <w:spacing w:after="0"/>
    </w:pPr>
    <w:r>
      <w:rPr>
        <w:rFonts w:ascii="Calibri" w:cs="Calibri" w:eastAsia="Calibri" w:hAnsi="Calibri"/>
        <w:b/>
        <w:bCs/>
        <w:color w:val="1B78A8"/>
        <w:sz w:val="18"/>
        <w:szCs w:val="18"/>
      </w:rPr>
      <w:t xml:space="preserve">HIDRO: Redução de Riscos</w:t>
    </w:r>
    <w:r>
      <w:rPr>
        <w:rFonts w:ascii="Calibri" w:cs="Calibri" w:eastAsia="Calibri" w:hAnsi="Calibri"/>
        <w:color w:val="4A5A73"/>
        <w:sz w:val="18"/>
        <w:szCs w:val="18"/>
      </w:rPr>
      <w:t xml:space="preserve">   |   Instrumentos da oficina (agentes e pesquisadores)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4d9613b0cfa4d945ed10552a1853c4dcc773189.png"/><Relationship Id="rId10" Type="http://schemas.openxmlformats.org/officeDocument/2006/relationships/image" Target="media/6001948cdd996b3f3809a7ef5f21d90a49237e31.png"/><Relationship Id="rId11" Type="http://schemas.openxmlformats.org/officeDocument/2006/relationships/image" Target="media/687f719f89e99e954debf2c3cff16cfa9a217f0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Instrumentos da oficina (agentes e pesquisadores)</dc:title>
  <dc:creator>Antonio Idêrlian Pereira de Sousa</dc:creator>
  <dc:description>Material do projeto HIDRO: Redução de Riscos</dc:description>
  <cp:lastModifiedBy>Un-named</cp:lastModifiedBy>
  <cp:revision>1</cp:revision>
  <dcterms:created xsi:type="dcterms:W3CDTF">2026-09-21T02:32:39.224Z</dcterms:created>
  <dcterms:modified xsi:type="dcterms:W3CDTF">2026-09-21T02:32:39.224Z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