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0F1B2E" w:sz="0"/>
              <w:left w:val="none" w:color="0F1B2E" w:sz="0"/>
              <w:bottom w:val="single" w:color="F5C451" w:sz="36"/>
              <w:right w:val="none" w:color="0F1B2E" w:sz="0"/>
            </w:tcBorders>
            <w:shd w:fill="0F1B2E" w:color="auto" w:val="clear"/>
            <w:tcMar>
              <w:top w:type="dxa" w:w="260"/>
              <w:left w:type="dxa" w:w="300"/>
              <w:bottom w:type="dxa" w:w="280"/>
              <w:right w:type="dxa" w:w="300"/>
            </w:tcMar>
          </w:tcPr>
          <w:p>
            <w:pPr>
              <w:spacing w:after="120" w:before="0" w:line="300"/>
            </w:pPr>
            <w:r>
              <w:rPr>
                <w:rFonts w:ascii="Calibri" w:cs="Calibri" w:eastAsia="Calibri" w:hAnsi="Calibri"/>
                <w:b/>
                <w:bCs/>
                <w:color w:val="F5C451"/>
                <w:sz w:val="18"/>
                <w:szCs w:val="18"/>
              </w:rPr>
              <w:t xml:space="preserve">MATERIAL DO PROFESSOR</w:t>
            </w:r>
          </w:p>
          <w:p>
            <w:pPr>
              <w:spacing w:after="120" w:before="40" w:line="300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Guia de inclusão: estudantes autistas e com altas habilidades ou superdotação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BFE3F6"/>
                <w:sz w:val="24"/>
                <w:szCs w:val="24"/>
              </w:rPr>
              <w:t xml:space="preserve">Como adaptar a oficina e o jogo HIDRO, sem rótulos e com a participação da família e do AEE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28650"/>
                  <wp:effectExtent t="0" r="0" b="0" l="0"/>
                  <wp:docPr id="1" name="img" descr="Logo da UFGD" title="Logo da 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66750"/>
                  <wp:effectExtent t="0" r="0" b="0" l="0"/>
                  <wp:docPr id="1" name="img" descr="Logo da FCA/UFGD" title="Logo da FCA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619125"/>
                  <wp:effectExtent t="0" r="0" b="0" l="0"/>
                  <wp:docPr id="1" name="img" descr="Logo do PPGG/UFGD" title="Logo do PPGG/UF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1. Princípios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Cada pessoa é diferente</w:t>
            </w:r>
          </w:p>
        </w:tc>
        <w:tc>
          <w:tcPr>
            <w:tcW w:type="dxa" w:w="6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Autismo e altas habilidades são muito variados. Os apoios abaixo são possibilidades, não receitas. Converse com o estudante, com a família e com o atendimento educacional especializado (AEE) e consulte o plano individual (PEI ou PDI), quando houver.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Desenho Universal para a Aprendizagem (DUA)</w:t>
            </w:r>
          </w:p>
        </w:tc>
        <w:tc>
          <w:tcPr>
            <w:tcW w:type="dxa" w:w="6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Planeje várias formas de engajar, de apresentar a informação e de expressar o que se aprendeu. O que ajuda um estudante costuma ajudar muitos (CAST, 2018).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Pense antes, não depois</w:t>
            </w:r>
          </w:p>
        </w:tc>
        <w:tc>
          <w:tcPr>
            <w:tcW w:type="dxa" w:w="6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Antecipe barreiras (sons, luzes, tempo, ambiguidade, trabalho em grupo) em vez de esperar que o problema apareça.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Ouça o estudante</w:t>
            </w:r>
          </w:p>
        </w:tc>
        <w:tc>
          <w:tcPr>
            <w:tcW w:type="dxa" w:w="6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Pergunte o que ajuda. Aceite o que ele diz, inclusive quando disser que quer observar, jogar sozinho ou parar.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Errar em segurança</w:t>
            </w:r>
          </w:p>
        </w:tc>
        <w:tc>
          <w:tcPr>
            <w:tcW w:type="dxa" w:w="66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 jogo é um espaço para tentar de novo. Evite usar as medalhas ou o game over para comparar estudantes.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Base legal e normativa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Lei nº 12.764/2012: Política Nacional de Proteção dos Direitos da Pessoa com Transtorno do Espectro Autista.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Lei nº 13.146/2015: Lei Brasileira de Inclusão da Pessoa com Deficiência (Estatuto da Pessoa com Deficiência).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Política Nacional de Educação Especial na Perspectiva da Educação Inclusiva (MEC, 2008), que inclui estudantes com transtorno do espectro autista e com altas habilidades ou superdotação como público da educação especial.</w:t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2. Estudantes autistas (TEA)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Recursos do HIDRO (versão 3.4)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Modo calmo (tecla C ou menu PAUSAR)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Liga os dois recursos abaixo de uma vez.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Efeitos reduzidos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Sem relâmpagos, sem tremor de tela, sem o flash branco ao trocar de fase; chuva e escurecimento mais suaves.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Sem relógio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O perigo não cresce com o tempo. Dá para ler, pensar e explorar sem pressão. As decisões perigosas (por exemplo, entrar na água) continuam valendo.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Dificuldade (menu PAUSAR)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Fácil deixa o perigo crescer mais devagar (0,7x), sem desligar o relógio. Útil como passo intermediário antes do modo padrão.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Som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Botão SOM no topo da tela desliga todos os sons.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Alto contraste (tecla H)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Ajuda quem tem sensibilidade visual ou dificuldade de distinguir elementos.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Guia de próximo passo (tecla K)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A seta e a dica indicam o que fazer; quem prefere pode desligar.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Pausa (ESC ou botão PAUSAR)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F6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Pausa a qualquer momento, sem perder o progresso.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Preferências salvas</w:t>
            </w:r>
          </w:p>
        </w:tc>
        <w:tc>
          <w:tcPr>
            <w:tcW w:type="dxa" w:w="6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Guia, contraste, efeitos reduzidos e sem relógio ficam salvos no aparelho.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5533D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Limites atuais do jogo (para você planejar)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textos dos diálogos são longos e não há narração em áudio: um leitor de apoio pode ajudar.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Há linguagem figurada e expressões populares (por exemplo, bueiro); explique com antecedência.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Não há ajuste do tamanho da letra dentro do jogo; o zoom do navegador ou a tela cheia podem ajudar.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Os controles exigem coordenação. Em dupla, o estudante pode ser navegador em vez de piloto.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Antes da oficina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Converse com a família e com o AEE sobre interesses, preferências e sinais de sobrecarga.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Mostre a agenda visual da oficina e a história social (modelos abaixo).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Ofereça uma experimentação prévia do jogo com o modo calmo ligado, em local calmo.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Escolha o local: menos ruído, luz suave e possibilidade de sair para uma pausa.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Durante a oficina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Avise antes de cada mudança de momento (por exemplo, em 5 minutos vamos jogar).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Use linguagem literal, frases curtas e exemplos concretos. Evite ironia e pegadinhas.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Defina papéis claros na dupla (piloto, navegador, repórter) e permita observar antes de jogar.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Ofereça cartões de comunicação (preciso de pausa, não entendi, quero ajuda, estou bem, barulho alto).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Dê tempo extra para ler e responder. Aceite respostas por escrito, desenho ou escolha entre opções.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houver sobrecarga, pause sem discutir e retome quando o estudante quiser.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Depois da oficina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Pergunte de forma simples o que funcionou e o que incomodou, e registre para as próximas aulas.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Reconheça o esforço e os interesses do estudante (por exemplo, mapas, regras, sistemas ou sinais).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Ofereça formas alternativas de participar da roda de conversa (escrever, desenhar, escolher cartões).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Agenda visual da oficina (imprima e recorte)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Mostre os cinco passos antes de começar e vá marcando o que já foi feito. Adapte as imagens e os textos ao estudante.</w:t>
      </w:r>
    </w:p>
    <w:p>
      <w:pPr>
        <w:spacing w:after="200"/>
        <w:jc w:val="left"/>
      </w:pPr>
      <w:r>
        <w:drawing>
          <wp:inline distT="0" distB="0" distL="0" distR="0">
            <wp:extent cx="6124575" cy="1600200"/>
            <wp:effectExtent t="0" r="0" b="0" l="0"/>
            <wp:docPr id="1" name="img" descr="Agenda visual em cinco passos: chegar, ver os slides, jogar o HIDRO, conversar e fim da oficina" title="Agenda visual em cinco passos: chegar, ver os slides, jogar o HIDRO, conversar e fim da ofic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História social: hoje vamos jogar o HIDRO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Modelo para ler antes da oficina, com o estudante. Adapte à linguagem dele e inclua as opções que ele escolher. Escreva em primeira pessoa, com frases curtas.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Hoje eu vou participar de uma oficina sobre chuvas fortes.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Primeiro, o professor vai mostrar imagens e explicar o que acontece quando chove muito.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Depois, eu vou jogar um jogo chamado HIDRO no computador ou no celular.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No jogo, eu vou ser o Hidro. Vai aparecer chuva, e pode haver sons e efeitos de tela.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Eu posso ligar o modo calmo. Assim, o jogo fica mais tranquilo e não tem relógio nem relâmpagos.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eu quiser parar, posso apertar ESC ou o botão PAUSAR. Também posso mostrar o cartão de pausa.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Se eu não entender uma parte, posso perguntar ao professor ou à minha dupla.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Quando terminar, vamos conversar sobre o que aprendemos.</w:t>
      </w:r>
    </w:p>
    <w:p>
      <w:pPr>
        <w:pStyle w:val="ListParagraph"/>
        <w:keepLines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Depois, a aula acaba e eu posso descansar.</w:t>
      </w:r>
    </w:p>
    <w:p>
      <w:r>
        <w:br w:type="pag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Cartões de comunicação (imprima e recorte)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1"/>
          <w:szCs w:val="21"/>
        </w:rPr>
        <w:t xml:space="preserve">Deixe os cartões ao alcance do estudante. Ele pode entregar, apontar ou colocar sobre a mesa. Combine com ele o que cada cartão significa e o que você vai fazer quando o receber.</w:t>
      </w:r>
    </w:p>
    <w:p>
      <w:pPr>
        <w:spacing w:after="100"/>
        <w:jc w:val="center"/>
      </w:pPr>
      <w:r>
        <w:drawing>
          <wp:inline distT="0" distB="0" distL="0" distR="0">
            <wp:extent cx="5400675" cy="4105275"/>
            <wp:effectExtent t="0" r="0" b="0" l="0"/>
            <wp:docPr id="1" name="img" descr="Cartões de comunicação: preciso de pausa, não entendi, quero ajuda, estou bem, barulho alto" title="Cartões de comunicação: preciso de pausa, não entendi, quero ajuda, estou bem, barulho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3. Estudantes com altas habilidades ou superdotação (AH/SD)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Princípios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 identificação é feita por avaliação especializada. Não rotule estudantes em sala: ofereça o enriquecimento a quem se interessar.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Enriquecer é mais do que dar mais tarefas: é aprofundar, dar autonomia e propor problemas reais.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Alguns estudantes têm dupla condição (altas habilidades e autismo). Combine os apoios deste guia.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Evite usar o estudante como ajudante permanente do professor. Alterne papéis e proponha desafios próprios.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B78A8"/>
          <w:sz w:val="26"/>
          <w:szCs w:val="26"/>
        </w:rPr>
        <w:t xml:space="preserve">Modelo de enriquecimento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O Modelo Triádico de Enriquecimento (Renzulli) organiza a proposta em três tipos de atividade: Tipo I (exploratórias), Tipo II (de treinamento em grupo) e Tipo III (investigações de problemas reais, individuais ou em pequenos grupos).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Tipo I: explorar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Conhecer dados e mapas reais de risco e alertas do seu município (por exemplo, materiais do Serviço Geológico do Brasil e do Cemaden, quando disponíveis). Assistir a uma fala de um agente de Defesa Civil.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Tipo II: treinar habilidades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Método racional para estimar vazão (Q = 0,278 × C × i × A). Leitura de curvas de nível e perfis topográficos. Introdução ao QGIS ou ao Google Earth. Escrita técnica de um relatório curto.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Tipo III: investigar</w:t>
            </w:r>
          </w:p>
        </w:tc>
        <w:tc>
          <w:tcPr>
            <w:tcW w:type="dxa" w:w="72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20"/>
                <w:szCs w:val="20"/>
              </w:rPr>
              <w:t xml:space="preserve">Diagnóstico de risco da escola ou do bairro com mapa e proposta à gestão. Análise dos registros do Modo Professor da turma. Criação de uma fase e de um quiz para o HIDRO (em papel ou com apoio técnico). Produção de um podcast ou uma apresentação para os 6º anos.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14213D"/>
          <w:sz w:val="23"/>
          <w:szCs w:val="23"/>
        </w:rPr>
        <w:t xml:space="preserve">Desafios dentro do jogo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Conquistar ouro em todas as fases, com o guia desligado (tecla K).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Explicar a um colega, sem jogar, por que cada missão vem na ordem em que vem.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14213D"/>
          <w:sz w:val="22"/>
          <w:szCs w:val="22"/>
        </w:rPr>
        <w:t xml:space="preserve">Jogar a mesma fase no nível DIFÍCIL (menu PAUSAR) e no Normal, e explicar por escrito o que mudou, usando o conceito de risco.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C451" w:sz="24"/>
              <w:bottom w:val="none" w:color="FFFFFF" w:sz="0"/>
              <w:right w:val="none" w:color="FFFFFF" w:sz="0"/>
            </w:tcBorders>
            <w:shd w:fill="EAF4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F1B2E"/>
                <w:sz w:val="22"/>
                <w:szCs w:val="22"/>
              </w:rPr>
              <w:t xml:space="preserve">Onde encontrar as atividades</w:t>
            </w:r>
          </w:p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color w:val="14213D"/>
                <w:sz w:val="21"/>
                <w:szCs w:val="21"/>
              </w:rPr>
              <w:t xml:space="preserve">As atividades de enriquecimento (método racional, mapas com SIG, projeto de design de fase, campanha) estão descritas no Caderno de atividades, nas caixas "Altas habilidades ou superdotação".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4. Desenho Universal para a Aprendizagem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3569"/>
        <w:gridCol w:w="3569"/>
      </w:tblGrid>
      <w:tr>
        <w:trPr>
          <w:cantSplit/>
          <w:tblHeader/>
        </w:trPr>
        <w:tc>
          <w:tcPr>
            <w:tcW w:type="dxa" w:w="2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Princípio (DUA)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HIDRO e a oficina oferecem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você pode ampliar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Múltiplos meios de engajamento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Escolha de fase, medalhas, dificuldade ajustável, modo calmo, conversas de mito ou verdade.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Deixe escolher o fenômeno, o parceiro, o nível de dificuldade e o formato da atividade final.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Múltiplos meios de representação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Texto, imagens, mapa, gráficos, diagramas, glossário e sons.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Adicione leitura em voz alta, legendas, cartões com pictogramas e objetos concretos.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19"/>
                <w:szCs w:val="19"/>
              </w:rPr>
              <w:t xml:space="preserve">Múltiplos meios de ação e expressão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Jogo, quiz, conversas, cartão de emergência.</w:t>
            </w:r>
          </w:p>
        </w:tc>
        <w:tc>
          <w:tcPr>
            <w:tcW w:type="dxa" w:w="3569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14213D"/>
                <w:sz w:val="19"/>
                <w:szCs w:val="19"/>
              </w:rPr>
              <w:t xml:space="preserve">Aceite desenho, fala, escrita, maquete, vídeo curto ou cartões como resposta.</w:t>
            </w: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5. Checklist do professor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38"/>
        <w:gridCol w:w="1100"/>
      </w:tblGrid>
      <w:tr>
        <w:trPr>
          <w:cantSplit/>
          <w:tblHeader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 da oficina inclusiva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0F1B2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Feito</w:t>
            </w: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Conversei com a família e com o AEE?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O local tem menos ruído e uma área para pausa?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Testei o jogo e as configurações de acessibilidade (tecla C, SOM, tecla H)?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Preparei agenda visual, história social e cartões de comunicação?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Defini papéis claros na dupla e um sinal para pausa?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520" w:hRule="atLeast"/>
        </w:trPr>
        <w:tc>
          <w:tcPr>
            <w:tcW w:type="dxa" w:w="85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color w:val="14213D"/>
                <w:sz w:val="20"/>
                <w:szCs w:val="20"/>
              </w:rPr>
              <w:t xml:space="preserve">Tenho atividades de enriquecimento para quem terminar antes ou quiser aprofundar?</w:t>
            </w:r>
          </w:p>
        </w:tc>
        <w:tc>
          <w:tcPr>
            <w:tcW w:type="dxa" w:w="11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6. Ficha de apoio para a oficina (preencher com a família e o AEE)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21"/>
          <w:szCs w:val="21"/>
        </w:rPr>
        <w:t xml:space="preserve">Esta ficha não é um laudo nem um plano individual. Serve para combinar apoios com o estudante. Guarde-a com cuidado e compartilhe apenas com quem precisa.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Estudante (iniciais)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 que ajuda (informado pela família e pelo estudante)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O que costuma incomodar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Sinais de sobrecarga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Como pausar e retomar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Adaptações da oficina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  <w:tr>
        <w:trPr>
          <w:cantSplit/>
          <w:trHeight w:val="900" w:hRule="atLeast"/>
        </w:trPr>
        <w:tc>
          <w:tcPr>
            <w:tcW w:type="dxa" w:w="3600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shd w:fill="EAF4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Contato de apoio (AEE)</w:t>
            </w:r>
          </w:p>
        </w:tc>
        <w:tc>
          <w:tcPr>
            <w:tcW w:type="dxa" w:w="6038"/>
            <w:tcBorders>
              <w:top w:val="single" w:color="C9D6E4" w:sz="4"/>
              <w:left w:val="single" w:color="C9D6E4" w:sz="4"/>
              <w:bottom w:val="single" w:color="C9D6E4" w:sz="4"/>
              <w:right w:val="single" w:color="C9D6E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0" w:line="276"/>
            </w:pPr>
          </w:p>
        </w:tc>
      </w:tr>
    </w:tbl>
    <w:p>
      <w:pPr>
        <w:pStyle w:val="Heading1"/>
        <w:keepNext/>
        <w:pBdr>
          <w:bottom w:val="single" w:color="F5C451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0F1B2E"/>
          <w:sz w:val="32"/>
          <w:szCs w:val="32"/>
        </w:rPr>
        <w:t xml:space="preserve">7. Referências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CAST. Universal Design for Learning Guidelines version 2.2. 2018. Disponível em: https://udlguidelines.cast.org.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RENZULLI, J. S. The Enrichment Triad Model: a guide for developing defensible programs for the gifted and talented. Mansfield Center: Creative Learning Press, 1977.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Lei nº 12.764, de 27 de dezembro de 2012.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Lei nº 13.146, de 6 de julho de 2015.</w:t>
      </w:r>
    </w:p>
    <w:p>
      <w:pPr>
        <w:spacing w:after="90" w:before="0" w:line="276"/>
        <w:ind w:left="340" w:hanging="340"/>
      </w:pPr>
      <w:r>
        <w:rPr>
          <w:rFonts w:ascii="Calibri" w:cs="Calibri" w:eastAsia="Calibri" w:hAnsi="Calibri"/>
          <w:color w:val="14213D"/>
          <w:sz w:val="20"/>
          <w:szCs w:val="20"/>
        </w:rPr>
        <w:t xml:space="preserve">BRASIL. Ministério da Educação. Política Nacional de Educação Especial na Perspectiva da Educação Inclusiva. Brasília: MEC/SEESP, 2008.</w:t>
      </w:r>
    </w:p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  <w:color w:val="4A5A73"/>
          <w:sz w:val="18"/>
          <w:szCs w:val="18"/>
        </w:rPr>
        <w:t xml:space="preserve">Material do projeto HIDRO: Redução de Riscos. Autoria: Antonio Idêrlian Pereira de Sousa. Contato: antonioiderlian@outlook.com | antoniosousa@ufgd.edu.br. Este guia é uma orientação pedagógica e não substitui a avaliação de profissionais especializados.</w:t>
      </w:r>
      <w:r>
        <w:rPr>
          <w:rFonts w:ascii="Calibri" w:hAnsi="Calibri"/>
          <w:color w:val="4A5A73"/>
          <w:sz w:val="18"/>
        </w:rPr>
        <w:t xml:space="preserve"> Programa de computador registrado no INPI sob o processo nº BR 51 2026 009207-8, titularidade da UFGD.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4A5A73"/>
        <w:sz w:val="16"/>
        <w:szCs w:val="16"/>
      </w:rPr>
      <w:t xml:space="preserve">Antonio Idêrlian Pereira de Sousa   |   Página </w:t>
    </w:r>
    <w:r>
      <w:rPr>
        <w:rFonts w:ascii="Calibri" w:cs="Calibri" w:eastAsia="Calibri" w:hAnsi="Calibri"/>
        <w:color w:val="4A5A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4" w:sz="6" w:space="4"/>
      </w:pBdr>
      <w:spacing w:after="0"/>
    </w:pPr>
    <w:r>
      <w:rPr>
        <w:rFonts w:ascii="Calibri" w:cs="Calibri" w:eastAsia="Calibri" w:hAnsi="Calibri"/>
        <w:b/>
        <w:bCs/>
        <w:color w:val="1B78A8"/>
        <w:sz w:val="18"/>
        <w:szCs w:val="18"/>
      </w:rPr>
      <w:t xml:space="preserve">HIDRO: Redução de Riscos</w:t>
    </w:r>
    <w:r>
      <w:rPr>
        <w:rFonts w:ascii="Calibri" w:cs="Calibri" w:eastAsia="Calibri" w:hAnsi="Calibri"/>
        <w:color w:val="4A5A73"/>
        <w:sz w:val="18"/>
        <w:szCs w:val="18"/>
      </w:rPr>
      <w:t xml:space="preserve">   |   Guia de inclusão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4d9613b0cfa4d945ed10552a1853c4dcc773189.png"/><Relationship Id="rId10" Type="http://schemas.openxmlformats.org/officeDocument/2006/relationships/image" Target="media/6001948cdd996b3f3809a7ef5f21d90a49237e31.png"/><Relationship Id="rId11" Type="http://schemas.openxmlformats.org/officeDocument/2006/relationships/image" Target="media/687f719f89e99e954debf2c3cff16cfa9a217f04.png"/><Relationship Id="rId12" Type="http://schemas.openxmlformats.org/officeDocument/2006/relationships/image" Target="media/054e9b53785b71955df049dd5dd2bacafed7d557.png"/><Relationship Id="rId13" Type="http://schemas.openxmlformats.org/officeDocument/2006/relationships/image" Target="media/fef16bc9e32e13bdafa7bbe797382eaac0a85af2.png"/><Relationship Id="rId1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inclusão</dc:title>
  <dc:creator>Antonio Idêrlian Pereira de Sousa</dc:creator>
  <dc:description>Material do projeto HIDRO: Redução de Riscos</dc:description>
  <cp:lastModifiedBy>Un-named</cp:lastModifiedBy>
  <cp:revision>1</cp:revision>
  <dcterms:created xsi:type="dcterms:W3CDTF">2026-09-22T11:35:33.991Z</dcterms:created>
  <dcterms:modified xsi:type="dcterms:W3CDTF">2026-09-22T11:35:33.992Z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