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0F1B2E" w:sz="0"/>
              <w:left w:val="none" w:color="0F1B2E" w:sz="0"/>
              <w:bottom w:val="single" w:color="F5C451" w:sz="36"/>
              <w:right w:val="none" w:color="0F1B2E" w:sz="0"/>
            </w:tcBorders>
            <w:shd w:fill="0F1B2E" w:color="auto" w:val="clear"/>
            <w:tcMar>
              <w:top w:type="dxa" w:w="260"/>
              <w:left w:type="dxa" w:w="300"/>
              <w:bottom w:type="dxa" w:w="280"/>
              <w:right w:type="dxa" w:w="300"/>
            </w:tcMar>
          </w:tcPr>
          <w:p>
            <w:pPr>
              <w:spacing w:after="120" w:before="0" w:line="300"/>
            </w:pPr>
            <w:r>
              <w:rPr>
                <w:rFonts w:ascii="Calibri" w:cs="Calibri" w:eastAsia="Calibri" w:hAnsi="Calibri"/>
                <w:b/>
                <w:bCs/>
                <w:color w:val="F5C451"/>
                <w:sz w:val="18"/>
                <w:szCs w:val="18"/>
              </w:rPr>
              <w:t xml:space="preserve">MATERIAL DO APLICADOR</w:t>
            </w:r>
          </w:p>
          <w:p>
            <w:pPr>
              <w:spacing w:after="120" w:before="40" w:line="300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Aplicação e avaliação do HIDRO com agentes e pesquisadores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BFE3F6"/>
                <w:sz w:val="24"/>
                <w:szCs w:val="24"/>
              </w:rPr>
              <w:t xml:space="preserve">Instrumentos para a oficina do Seminário RRD 2026: experiência, intenção de uso e validação de conteúdo por especialistas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95400" cy="628650"/>
                  <wp:effectExtent t="0" r="0" b="0" l="0"/>
                  <wp:docPr id="1" name="img" descr="Logo da UFGD" title="Logo da UFG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95400" cy="666750"/>
                  <wp:effectExtent t="0" r="0" b="0" l="0"/>
                  <wp:docPr id="1" name="img" descr="Logo da FCA/UFGD" title="Logo da FCA/UFG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95400" cy="619125"/>
                  <wp:effectExtent t="0" r="0" b="0" l="0"/>
                  <wp:docPr id="1" name="img" descr="Logo do PPGG/UFGD" title="Logo do PPGG/UFG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5533D" w:sz="24"/>
              <w:bottom w:val="none" w:color="FFFFFF" w:sz="0"/>
              <w:right w:val="none" w:color="FFFFFF" w:sz="0"/>
            </w:tcBorders>
            <w:shd w:fill="EAF4FB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2"/>
                <w:szCs w:val="22"/>
              </w:rPr>
              <w:t xml:space="preserve">Leia antes de aplicar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21"/>
                <w:szCs w:val="21"/>
              </w:rPr>
              <w:t xml:space="preserve">Este material propõe uma coleta de dados durante a oficina. Se os dados forem usados em pesquisa ou publicação, é preciso aprovação em Comitê de Ética em Pesquisa (CEP) e consentimento dos participantes. Se a intenção for apenas uma devolutiva para aperfeiçoar o jogo, use formulários anônimos, sem identificadores, e explique a finalidade. Consulte o CEP da sua instituição para saber em qual caso a oficina se enquadra. As escalas foram elaboradas para esta oficina e não foram validadas estatisticamente.</w:t>
            </w:r>
          </w:p>
        </w:tc>
      </w:tr>
    </w:tbl>
    <w:p>
      <w:pPr>
        <w:pStyle w:val="Heading1"/>
        <w:keepNext/>
        <w:pBdr>
          <w:bottom w:val="single" w:color="F5C451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B2E"/>
          <w:sz w:val="32"/>
          <w:szCs w:val="32"/>
        </w:rPr>
        <w:t xml:space="preserve">1. Para que serve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Conhecer a experiência de agentes e pesquisadores ao jogar o HIDRO (facilidade, atenção, desconforto e adequação ao público).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Validar o conteúdo técnico do jogo com especialistas: conceitos, protocolo, cenários, linguagem e aplicabilidade escolar.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Levantar a intenção de uso do jogo em ações educativas e as condições necessárias.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Identificar correções e adaptações regionais antes de levar o jogo a mais escolas.</w:t>
      </w:r>
    </w:p>
    <w:p>
      <w:pPr>
        <w:pStyle w:val="Heading1"/>
        <w:keepNext/>
        <w:pBdr>
          <w:bottom w:val="single" w:color="F5C451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B2E"/>
          <w:sz w:val="32"/>
          <w:szCs w:val="32"/>
        </w:rPr>
        <w:t xml:space="preserve">2. Como aplicar na oficina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3000"/>
        <w:gridCol w:w="5438"/>
      </w:tblGrid>
      <w:tr>
        <w:trPr>
          <w:cantSplit/>
          <w:tblHeader/>
        </w:trPr>
        <w:tc>
          <w:tcPr>
            <w:tcW w:type="dxa" w:w="1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3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5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4 min</w:t>
            </w:r>
          </w:p>
        </w:tc>
        <w:tc>
          <w:tcPr>
            <w:tcW w:type="dxa" w:w="3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Finalidade e consentimento</w:t>
            </w:r>
          </w:p>
        </w:tc>
        <w:tc>
          <w:tcPr>
            <w:tcW w:type="dxa" w:w="5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Explique a finalidade, leia o aviso (ou o TCLE aprovado) e entregue o código do participante. Faz parte da abertura da oficina.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3 min</w:t>
            </w:r>
          </w:p>
        </w:tc>
        <w:tc>
          <w:tcPr>
            <w:tcW w:type="dxa" w:w="3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Perfil e pré</w:t>
            </w:r>
          </w:p>
        </w:tc>
        <w:tc>
          <w:tcPr>
            <w:tcW w:type="dxa" w:w="5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Instrumentos 1 e 2. Sem identificar o nome. Faz parte da abertura da oficina.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20 min</w:t>
            </w:r>
          </w:p>
        </w:tc>
        <w:tc>
          <w:tcPr>
            <w:tcW w:type="dxa" w:w="3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Jogo com observação técnica</w:t>
            </w:r>
          </w:p>
        </w:tc>
        <w:tc>
          <w:tcPr>
            <w:tcW w:type="dxa" w:w="5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Duplas jogam uma fase e anotam problemas técnicos (Instrumento 5).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7 min</w:t>
            </w:r>
          </w:p>
        </w:tc>
        <w:tc>
          <w:tcPr>
            <w:tcW w:type="dxa" w:w="3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Pós: experiência e intenção de uso</w:t>
            </w:r>
          </w:p>
        </w:tc>
        <w:tc>
          <w:tcPr>
            <w:tcW w:type="dxa" w:w="5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Instrumento 3 (e repetição dos itens do Instrumento 2).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10 min</w:t>
            </w:r>
          </w:p>
        </w:tc>
        <w:tc>
          <w:tcPr>
            <w:tcW w:type="dxa" w:w="3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Validação de conteúdo</w:t>
            </w:r>
          </w:p>
        </w:tc>
        <w:tc>
          <w:tcPr>
            <w:tcW w:type="dxa" w:w="5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Instrumento 4, individual.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8 min</w:t>
            </w:r>
          </w:p>
        </w:tc>
        <w:tc>
          <w:tcPr>
            <w:tcW w:type="dxa" w:w="3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Roda de conversa</w:t>
            </w:r>
          </w:p>
        </w:tc>
        <w:tc>
          <w:tcPr>
            <w:tcW w:type="dxa" w:w="5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Instrumento 6, com registro de anotações.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Formato.</w:t>
      </w:r>
      <w:r>
        <w:rPr>
          <w:rFonts w:ascii="Calibri" w:cs="Calibri" w:eastAsia="Calibri" w:hAnsi="Calibri"/>
          <w:color w:val="14213D"/>
          <w:sz w:val="22"/>
          <w:szCs w:val="22"/>
        </w:rPr>
        <w:t xml:space="preserve"> Os instrumentos podem ser impressos ou digitados em um formulário online (por exemplo, Google Formulários ou LimeSurvey). Se usar formulário online, não peça nome nem e-mail. A planilha que acompanha este material calcula os resultados a partir dos códigos dos participantes.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Sugestão de organização.</w:t>
      </w:r>
      <w:r>
        <w:rPr>
          <w:rFonts w:ascii="Calibri" w:cs="Calibri" w:eastAsia="Calibri" w:hAnsi="Calibri"/>
          <w:color w:val="14213D"/>
          <w:sz w:val="22"/>
          <w:szCs w:val="22"/>
        </w:rPr>
        <w:t xml:space="preserve"> Imprima uma ficha por participante com o código escrito (P01, P02...), e as fichas de observação técnica por dupla.</w:t>
      </w:r>
    </w:p>
    <w:p>
      <w:pPr>
        <w:pStyle w:val="Heading1"/>
        <w:keepNext/>
        <w:pBdr>
          <w:bottom w:val="single" w:color="F5C451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B2E"/>
          <w:sz w:val="32"/>
          <w:szCs w:val="32"/>
        </w:rPr>
        <w:t xml:space="preserve">3. Aviso ao participante (modelo)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5C451" w:sz="24"/>
              <w:bottom w:val="none" w:color="FFFFFF" w:sz="0"/>
              <w:right w:val="none" w:color="FFFFFF" w:sz="0"/>
            </w:tcBorders>
            <w:shd w:fill="EAF4FB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2"/>
                <w:szCs w:val="22"/>
              </w:rPr>
              <w:t xml:space="preserve">Texto-modelo para leitura em voz alta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21"/>
                <w:szCs w:val="21"/>
              </w:rPr>
              <w:t xml:space="preserve">Você está sendo convidado(a) a participar, de forma voluntária e anônima, da avaliação do jogo educativo HIDRO durante esta oficina.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21"/>
                <w:szCs w:val="21"/>
              </w:rPr>
              <w:t xml:space="preserve">Você jogará por cerca de 20 minutos e responderá a questionários curtos sobre a sua experiência, a intenção de uso e a adequação do conteúdo técnico. Não há respostas certas ou erradas.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21"/>
                <w:szCs w:val="21"/>
              </w:rPr>
              <w:t xml:space="preserve">Você pode desistir a qualquer momento, sem qualquer prejuízo. Não pediremos o seu nome nos questionários: você usará apenas um código.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21"/>
                <w:szCs w:val="21"/>
              </w:rPr>
              <w:t xml:space="preserve">O jogo não coleta dados pessoais. As respostas serão usadas para aperfeiçoar o jogo e, se houver aprovação do Comitê de Ética, em pesquisa, sempre de forma agrupada.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21"/>
                <w:szCs w:val="21"/>
              </w:rPr>
              <w:t xml:space="preserve">Riscos: cansaço ou desconforto leve ao tratar de desastres. Benefício: contribuir para melhorar um material educativo para a redução de riscos.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21"/>
                <w:szCs w:val="21"/>
              </w:rPr>
              <w:t xml:space="preserve">Contato: Antonio Idêrlian Pereira de Sousa (antonioiderlian@outlook.com | antoniosousa@ufgd.edu.br).</w:t>
            </w:r>
          </w:p>
        </w:tc>
      </w:tr>
    </w:tbl>
    <w:p>
      <w:pPr>
        <w:spacing w:after="120" w:before="80" w:line="276"/>
      </w:pPr>
      <w:r>
        <w:rPr>
          <w:rFonts w:ascii="Calibri" w:cs="Calibri" w:eastAsia="Calibri" w:hAnsi="Calibri"/>
          <w:color w:val="4A5A73"/>
          <w:sz w:val="20"/>
          <w:szCs w:val="20"/>
        </w:rPr>
        <w:t xml:space="preserve">Este é um texto-modelo. Adapte-o ao modelo de TCLE do CEP da sua instituição antes de usar em pesquisa.</w:t>
      </w:r>
    </w:p>
    <w:p>
      <w:r>
        <w:br w:type="page"/>
      </w:r>
    </w:p>
    <w:p>
      <w:pPr>
        <w:pStyle w:val="Heading1"/>
        <w:keepNext/>
        <w:pBdr>
          <w:bottom w:val="single" w:color="F5C451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B2E"/>
          <w:sz w:val="32"/>
          <w:szCs w:val="32"/>
        </w:rPr>
        <w:t xml:space="preserve">Instrumento 1: Perfil do participante (opcional e anônimo)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Código: ______________   Data: ___/___/______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438"/>
      </w:tblGrid>
      <w:tr>
        <w:trPr>
          <w:cantSplit/>
          <w:trHeight w:val="800" w:hRule="atLeast"/>
        </w:trPr>
        <w:tc>
          <w:tcPr>
            <w:tcW w:type="dxa" w:w="3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Código do participante</w:t>
            </w:r>
          </w:p>
        </w:tc>
        <w:tc>
          <w:tcPr>
            <w:tcW w:type="dxa" w:w="6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(entregue pelo aplicador)</w:t>
            </w:r>
          </w:p>
        </w:tc>
      </w:tr>
      <w:tr>
        <w:trPr>
          <w:cantSplit/>
          <w:trHeight w:val="800" w:hRule="atLeast"/>
        </w:trPr>
        <w:tc>
          <w:tcPr>
            <w:tcW w:type="dxa" w:w="3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Atuação principal</w:t>
            </w:r>
          </w:p>
        </w:tc>
        <w:tc>
          <w:tcPr>
            <w:tcW w:type="dxa" w:w="6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( ) Agente de proteção e defesa civil   ( ) Pesquisador(a)   ( ) Professor(a) ou gestor(a) escolar   ( ) Outro: ____________</w:t>
            </w:r>
          </w:p>
        </w:tc>
      </w:tr>
      <w:tr>
        <w:trPr>
          <w:cantSplit/>
          <w:trHeight w:val="800" w:hRule="atLeast"/>
        </w:trPr>
        <w:tc>
          <w:tcPr>
            <w:tcW w:type="dxa" w:w="3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Esfera ou vínculo</w:t>
            </w:r>
          </w:p>
        </w:tc>
        <w:tc>
          <w:tcPr>
            <w:tcW w:type="dxa" w:w="6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( ) Municipal   ( ) Estadual   ( ) Federal   ( ) Universidade ou instituto de pesquisa   ( ) Outro</w:t>
            </w:r>
          </w:p>
        </w:tc>
      </w:tr>
      <w:tr>
        <w:trPr>
          <w:cantSplit/>
          <w:trHeight w:val="800" w:hRule="atLeast"/>
        </w:trPr>
        <w:tc>
          <w:tcPr>
            <w:tcW w:type="dxa" w:w="3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Tempo de atuação na área de riscos e desastres</w:t>
            </w:r>
          </w:p>
        </w:tc>
        <w:tc>
          <w:tcPr>
            <w:tcW w:type="dxa" w:w="6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( ) menos de 2 anos   ( ) 2 a 5 anos   ( ) 6 a 10 anos   ( ) mais de 10 anos</w:t>
            </w:r>
          </w:p>
        </w:tc>
      </w:tr>
      <w:tr>
        <w:trPr>
          <w:cantSplit/>
          <w:trHeight w:val="800" w:hRule="atLeast"/>
        </w:trPr>
        <w:tc>
          <w:tcPr>
            <w:tcW w:type="dxa" w:w="3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Já realizou ações educativas em escolas?</w:t>
            </w:r>
          </w:p>
        </w:tc>
        <w:tc>
          <w:tcPr>
            <w:tcW w:type="dxa" w:w="6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( ) Sim   ( ) Não</w:t>
            </w:r>
          </w:p>
        </w:tc>
      </w:tr>
      <w:tr>
        <w:trPr>
          <w:cantSplit/>
          <w:trHeight w:val="800" w:hRule="atLeast"/>
        </w:trPr>
        <w:tc>
          <w:tcPr>
            <w:tcW w:type="dxa" w:w="3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Já usou jogos digitais em ações educativas?</w:t>
            </w:r>
          </w:p>
        </w:tc>
        <w:tc>
          <w:tcPr>
            <w:tcW w:type="dxa" w:w="6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( ) Sim   ( ) Não</w:t>
            </w:r>
          </w:p>
        </w:tc>
      </w:tr>
    </w:tbl>
    <w:p>
      <w:pPr>
        <w:pStyle w:val="Heading1"/>
        <w:keepNext/>
        <w:pBdr>
          <w:bottom w:val="single" w:color="F5C451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B2E"/>
          <w:sz w:val="32"/>
          <w:szCs w:val="32"/>
        </w:rPr>
        <w:t xml:space="preserve">Instrumento 2: Confiança para usar jogos em ações educativas (pré e pós)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4A5A73"/>
          <w:sz w:val="20"/>
          <w:szCs w:val="20"/>
        </w:rPr>
        <w:t xml:space="preserve">Marque de 1 (discordo totalmente) a 5 (concordo totalmente). Responda antes e depois da oficina.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38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</w:tblGrid>
      <w:tr>
        <w:trPr>
          <w:cantSplit/>
          <w:tblHeader/>
        </w:trPr>
        <w:tc>
          <w:tcPr>
            <w:tcW w:type="dxa" w:w="56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Afirmação</w:t>
            </w: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Pré 1</w:t>
            </w: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Pré 2</w:t>
            </w: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Pré 3</w:t>
            </w: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Pré 4</w:t>
            </w: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Pré 5</w:t>
            </w: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Pós 1</w:t>
            </w: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Pós 2</w:t>
            </w: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Pós 3</w:t>
            </w: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Pós 4</w:t>
            </w: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Pós 5</w:t>
            </w:r>
          </w:p>
        </w:tc>
      </w:tr>
      <w:tr>
        <w:trPr>
          <w:cantSplit/>
          <w:trHeight w:val="600" w:hRule="atLeast"/>
        </w:trPr>
        <w:tc>
          <w:tcPr>
            <w:tcW w:type="dxa" w:w="56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Sei explicar a estudantes do ensino fundamental a diferença entre alagamento, enxurrada, enchente e deslizamento.</w:t>
            </w: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600" w:hRule="atLeast"/>
        </w:trPr>
        <w:tc>
          <w:tcPr>
            <w:tcW w:type="dxa" w:w="56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Sei como um jogo digital pode ser usado em uma ação educativa sobre riscos de desastres.</w:t>
            </w: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600" w:hRule="atLeast"/>
        </w:trPr>
        <w:tc>
          <w:tcPr>
            <w:tcW w:type="dxa" w:w="56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Consigo planejar uma atividade com o HIDRO em parceria com uma escola.</w:t>
            </w: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600" w:hRule="atLeast"/>
        </w:trPr>
        <w:tc>
          <w:tcPr>
            <w:tcW w:type="dxa" w:w="56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Sei adaptar uma atividade educativa para estudantes autistas ou com altas habilidades.</w:t>
            </w: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600" w:hRule="atLeast"/>
        </w:trPr>
        <w:tc>
          <w:tcPr>
            <w:tcW w:type="dxa" w:w="56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Sei como avaliar se uma ação educativa com jogo foi efetiva.</w:t>
            </w: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</w:tbl>
    <w:p>
      <w:pPr>
        <w:spacing w:after="120" w:before="80" w:line="276"/>
      </w:pPr>
      <w:r>
        <w:rPr>
          <w:rFonts w:ascii="Calibri" w:cs="Calibri" w:eastAsia="Calibri" w:hAnsi="Calibri"/>
          <w:color w:val="4A5A73"/>
          <w:sz w:val="18"/>
          <w:szCs w:val="18"/>
        </w:rPr>
        <w:t xml:space="preserve">1 = discordo totalmente   2 = discordo   3 = nem concordo nem discordo   4 = concordo   5 = concordo totalmente. Preencha a coluna "Pré" antes do jogo e a coluna "Pós" ao final.</w:t>
      </w:r>
    </w:p>
    <w:p>
      <w:pPr>
        <w:spacing w:after="40" w:before="10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O que você espera desta oficina?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700" w:hRule="atLeast"/>
        </w:trPr>
        <w:tc>
          <w:tcPr>
            <w:tcW w:type="dxa" w:w="96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F5C451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B2E"/>
          <w:sz w:val="32"/>
          <w:szCs w:val="32"/>
        </w:rPr>
        <w:t xml:space="preserve">Instrumento 3: Experiência com o jogo, intenção de uso e utilidade (pós)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Código: ______________   Data: ___/___/______</w:t>
      </w:r>
    </w:p>
    <w:p>
      <w:pPr>
        <w:spacing w:after="120" w:before="0" w:line="276"/>
      </w:pPr>
      <w:r>
        <w:rPr>
          <w:rFonts w:ascii="Calibri" w:cs="Calibri" w:eastAsia="Calibri" w:hAnsi="Calibri"/>
          <w:color w:val="4A5A73"/>
          <w:sz w:val="20"/>
          <w:szCs w:val="20"/>
        </w:rPr>
        <w:t xml:space="preserve">Marque de 1 (discordo totalmente) a 5 (concordo totalmente).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Experiência com o jogo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38"/>
        <w:gridCol w:w="640"/>
        <w:gridCol w:w="640"/>
        <w:gridCol w:w="640"/>
        <w:gridCol w:w="640"/>
        <w:gridCol w:w="640"/>
      </w:tblGrid>
      <w:tr>
        <w:trPr>
          <w:cantSplit/>
          <w:tblHeader/>
        </w:trPr>
        <w:tc>
          <w:tcPr>
            <w:tcW w:type="dxa" w:w="6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Afirmação</w:t>
            </w: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  <w:tr>
        <w:trPr>
          <w:cantSplit/>
          <w:trHeight w:val="380" w:hRule="atLeast"/>
        </w:trPr>
        <w:tc>
          <w:tcPr>
            <w:tcW w:type="dxa" w:w="6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8"/>
                <w:szCs w:val="18"/>
              </w:rPr>
              <w:t xml:space="preserve">1. Foi fácil entender o que eu precisava fazer no jogo.</w:t>
            </w: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380" w:hRule="atLeast"/>
        </w:trPr>
        <w:tc>
          <w:tcPr>
            <w:tcW w:type="dxa" w:w="6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8"/>
                <w:szCs w:val="18"/>
              </w:rPr>
              <w:t xml:space="preserve">2. Os controles foram fáceis de usar.</w:t>
            </w: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380" w:hRule="atLeast"/>
        </w:trPr>
        <w:tc>
          <w:tcPr>
            <w:tcW w:type="dxa" w:w="6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8"/>
                <w:szCs w:val="18"/>
              </w:rPr>
              <w:t xml:space="preserve">3. Os textos foram claros.</w:t>
            </w: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380" w:hRule="atLeast"/>
        </w:trPr>
        <w:tc>
          <w:tcPr>
            <w:tcW w:type="dxa" w:w="6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8"/>
                <w:szCs w:val="18"/>
              </w:rPr>
              <w:t xml:space="preserve">4. O jogo prendeu a minha atenção.</w:t>
            </w: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380" w:hRule="atLeast"/>
        </w:trPr>
        <w:tc>
          <w:tcPr>
            <w:tcW w:type="dxa" w:w="6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8"/>
                <w:szCs w:val="18"/>
              </w:rPr>
              <w:t xml:space="preserve">5. O jogo me fez refletir sobre as decisões em uma emergência.</w:t>
            </w: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380" w:hRule="atLeast"/>
        </w:trPr>
        <w:tc>
          <w:tcPr>
            <w:tcW w:type="dxa" w:w="6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8"/>
                <w:szCs w:val="18"/>
              </w:rPr>
              <w:t xml:space="preserve">6. O tempo de cada fase foi adequado.</w:t>
            </w: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380" w:hRule="atLeast"/>
        </w:trPr>
        <w:tc>
          <w:tcPr>
            <w:tcW w:type="dxa" w:w="6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8"/>
                <w:szCs w:val="18"/>
              </w:rPr>
              <w:t xml:space="preserve">7. Senti-me desconfortável ou sobrecarregado(a) em algum momento.</w:t>
            </w: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380" w:hRule="atLeast"/>
        </w:trPr>
        <w:tc>
          <w:tcPr>
            <w:tcW w:type="dxa" w:w="6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8"/>
                <w:szCs w:val="18"/>
              </w:rPr>
              <w:t xml:space="preserve">8. Os sons, as luzes ou os efeitos me incomodaram.</w:t>
            </w: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380" w:hRule="atLeast"/>
        </w:trPr>
        <w:tc>
          <w:tcPr>
            <w:tcW w:type="dxa" w:w="6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8"/>
                <w:szCs w:val="18"/>
              </w:rPr>
              <w:t xml:space="preserve">9. O jogo é adequado para estudantes do 6º ao 9º ano.</w:t>
            </w: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380" w:hRule="atLeast"/>
        </w:trPr>
        <w:tc>
          <w:tcPr>
            <w:tcW w:type="dxa" w:w="6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8"/>
                <w:szCs w:val="18"/>
              </w:rPr>
              <w:t xml:space="preserve">10. Eu recomendaria o jogo a professores e escolas.</w:t>
            </w: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</w:tbl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Intenção de uso e utilidade percebida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38"/>
        <w:gridCol w:w="640"/>
        <w:gridCol w:w="640"/>
        <w:gridCol w:w="640"/>
        <w:gridCol w:w="640"/>
        <w:gridCol w:w="640"/>
      </w:tblGrid>
      <w:tr>
        <w:trPr>
          <w:cantSplit/>
          <w:tblHeader/>
        </w:trPr>
        <w:tc>
          <w:tcPr>
            <w:tcW w:type="dxa" w:w="6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Afirmação</w:t>
            </w: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  <w:tr>
        <w:trPr>
          <w:cantSplit/>
          <w:trHeight w:val="380" w:hRule="atLeast"/>
        </w:trPr>
        <w:tc>
          <w:tcPr>
            <w:tcW w:type="dxa" w:w="6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8"/>
                <w:szCs w:val="18"/>
              </w:rPr>
              <w:t xml:space="preserve">1. Pretendo apresentar o HIDRO a escolas ou professores com quem atuo.</w:t>
            </w: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380" w:hRule="atLeast"/>
        </w:trPr>
        <w:tc>
          <w:tcPr>
            <w:tcW w:type="dxa" w:w="6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8"/>
                <w:szCs w:val="18"/>
              </w:rPr>
              <w:t xml:space="preserve">2. Usaria o jogo em uma ação educativa (palestra, oficina, semana de prevenção).</w:t>
            </w: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380" w:hRule="atLeast"/>
        </w:trPr>
        <w:tc>
          <w:tcPr>
            <w:tcW w:type="dxa" w:w="6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8"/>
                <w:szCs w:val="18"/>
              </w:rPr>
              <w:t xml:space="preserve">3. Gostaria de participar de um estudo sobre o uso do jogo.</w:t>
            </w: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380" w:hRule="atLeast"/>
        </w:trPr>
        <w:tc>
          <w:tcPr>
            <w:tcW w:type="dxa" w:w="6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8"/>
                <w:szCs w:val="18"/>
              </w:rPr>
              <w:t xml:space="preserve">4. O jogo complementa as ações educativas que eu já realizo ou conheço.</w:t>
            </w: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380" w:hRule="atLeast"/>
        </w:trPr>
        <w:tc>
          <w:tcPr>
            <w:tcW w:type="dxa" w:w="6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8"/>
                <w:szCs w:val="18"/>
              </w:rPr>
              <w:t xml:space="preserve">5. O plano de aula e as atividades facilitam a aplicação com uma turma.</w:t>
            </w: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380" w:hRule="atLeast"/>
        </w:trPr>
        <w:tc>
          <w:tcPr>
            <w:tcW w:type="dxa" w:w="6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8"/>
                <w:szCs w:val="18"/>
              </w:rPr>
              <w:t xml:space="preserve">6. O Modo Professor ajuda a acompanhar as decisões e a aprendizagem.</w:t>
            </w: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64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</w:tbl>
    <w:p>
      <w:pPr>
        <w:spacing w:after="40" w:before="60" w:line="276"/>
      </w:pPr>
      <w:r>
        <w:rPr>
          <w:rFonts w:ascii="Calibri" w:cs="Calibri" w:eastAsia="Calibri" w:hAnsi="Calibri"/>
          <w:color w:val="4A5A73"/>
          <w:sz w:val="17"/>
          <w:szCs w:val="17"/>
        </w:rPr>
        <w:t xml:space="preserve">Nota de análise.</w:t>
      </w:r>
      <w:r>
        <w:rPr>
          <w:rFonts w:ascii="Calibri" w:cs="Calibri" w:eastAsia="Calibri" w:hAnsi="Calibri"/>
          <w:color w:val="4A5A73"/>
          <w:sz w:val="17"/>
          <w:szCs w:val="17"/>
        </w:rPr>
        <w:t xml:space="preserve"> Os itens 7 e 8 da experiência são negativos: valores altos indicam mais desconforto. Analise-os separadamente, sem somá-los aos demais.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0" w:before="0" w:line="276"/>
            </w:pPr>
            <w:r>
              <w:rPr>
                <w:rFonts w:ascii="Calibri" w:cs="Calibri" w:eastAsia="Calibri" w:hAnsi="Calibri"/>
                <w:color w:val="14213D"/>
                <w:sz w:val="20"/>
                <w:szCs w:val="20"/>
              </w:rPr>
              <w:t xml:space="preserve">O que você mais valoriza no jogo?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0" w:before="0" w:line="276"/>
            </w:pPr>
            <w:r>
              <w:rPr>
                <w:rFonts w:ascii="Calibri" w:cs="Calibri" w:eastAsia="Calibri" w:hAnsi="Calibri"/>
                <w:color w:val="14213D"/>
                <w:sz w:val="20"/>
                <w:szCs w:val="20"/>
              </w:rPr>
              <w:t xml:space="preserve">O que precisa ser corrigido ou melhorado antes de levar o jogo a uma escola?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0" w:before="0" w:line="276"/>
            </w:pPr>
            <w:r>
              <w:rPr>
                <w:rFonts w:ascii="Calibri" w:cs="Calibri" w:eastAsia="Calibri" w:hAnsi="Calibri"/>
                <w:color w:val="14213D"/>
                <w:sz w:val="20"/>
                <w:szCs w:val="20"/>
              </w:rPr>
              <w:t xml:space="preserve">Que informação técnica precisaria ser adaptada à realidade do seu município?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F5C451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B2E"/>
          <w:sz w:val="32"/>
          <w:szCs w:val="32"/>
        </w:rPr>
        <w:t xml:space="preserve">Instrumento 4: Validação de conteúdo por especialistas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Código: ______________   Data: ___/___/______   Área de atuação: ______________________</w:t>
      </w:r>
    </w:p>
    <w:p>
      <w:pPr>
        <w:spacing w:after="120" w:before="0" w:line="276"/>
      </w:pPr>
      <w:r>
        <w:rPr>
          <w:rFonts w:ascii="Calibri" w:cs="Calibri" w:eastAsia="Calibri" w:hAnsi="Calibri"/>
          <w:color w:val="4A5A73"/>
          <w:sz w:val="20"/>
          <w:szCs w:val="20"/>
        </w:rPr>
        <w:t xml:space="preserve">Avalie cada item de 1 a 4. Se marcar 1 ou 2, escreva a sugestão de ajuste no campo de comentário. Você pode avaliar somente os itens que se relacionam à sua área.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38"/>
      </w:tblGrid>
      <w:tr>
        <w:trPr>
          <w:cantSplit/>
          <w:tblHeader/>
        </w:trPr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  <w:tc>
          <w:tcPr>
            <w:tcW w:type="dxa" w:w="87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1</w:t>
            </w:r>
          </w:p>
        </w:tc>
        <w:tc>
          <w:tcPr>
            <w:tcW w:type="dxa" w:w="87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Inadequado ou irrelevante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2</w:t>
            </w:r>
          </w:p>
        </w:tc>
        <w:tc>
          <w:tcPr>
            <w:tcW w:type="dxa" w:w="87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Precisa de revisão importante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3</w:t>
            </w:r>
          </w:p>
        </w:tc>
        <w:tc>
          <w:tcPr>
            <w:tcW w:type="dxa" w:w="87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Adequado, com pequenos ajustes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4</w:t>
            </w:r>
          </w:p>
        </w:tc>
        <w:tc>
          <w:tcPr>
            <w:tcW w:type="dxa" w:w="87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Totalmente adequado</w:t>
            </w:r>
          </w:p>
        </w:tc>
      </w:tr>
    </w:tbl>
    <w:p>
      <w:pPr>
        <w:spacing w:after="10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A. Precisão técnica dos conceitos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58"/>
        <w:gridCol w:w="520"/>
        <w:gridCol w:w="520"/>
        <w:gridCol w:w="520"/>
        <w:gridCol w:w="520"/>
        <w:gridCol w:w="2600"/>
      </w:tblGrid>
      <w:tr>
        <w:trPr>
          <w:cantSplit/>
          <w:tblHeader/>
        </w:trPr>
        <w:tc>
          <w:tcPr>
            <w:tcW w:type="dxa" w:w="495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Comentário ou sugestão</w:t>
            </w:r>
          </w:p>
        </w:tc>
      </w:tr>
      <w:tr>
        <w:trPr>
          <w:cantSplit/>
          <w:trHeight w:val="560" w:hRule="atLeast"/>
        </w:trPr>
        <w:tc>
          <w:tcPr>
            <w:tcW w:type="dxa" w:w="495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A1. A definição e a diferenciação de alagamento, enxurrada, enchente, inundação e deslizamento estão corretas (note que enchente e inundação não são sinônimos).</w:t>
            </w: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560" w:hRule="atLeast"/>
        </w:trPr>
        <w:tc>
          <w:tcPr>
            <w:tcW w:type="dxa" w:w="495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A2. A explicação de infiltração, escoamento superficial e microdrenagem está correta e adequada ao público.</w:t>
            </w: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560" w:hRule="atLeast"/>
        </w:trPr>
        <w:tc>
          <w:tcPr>
            <w:tcW w:type="dxa" w:w="495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A3. Os termos técnicos (boca de lobo, poço de visita, tampão, galeria de águas pluviais, cota do rio, talude) estão usados corretamente, com o nome popular indicado.</w:t>
            </w: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560" w:hRule="atLeast"/>
        </w:trPr>
        <w:tc>
          <w:tcPr>
            <w:tcW w:type="dxa" w:w="495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A4. Os sinais de alerta (rachaduras, árvore ou poste inclinado, estalos, subida do rio) estão corretos.</w:t>
            </w: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</w:tbl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B. Protocolo de autoproteção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58"/>
        <w:gridCol w:w="520"/>
        <w:gridCol w:w="520"/>
        <w:gridCol w:w="520"/>
        <w:gridCol w:w="520"/>
        <w:gridCol w:w="2600"/>
      </w:tblGrid>
      <w:tr>
        <w:trPr>
          <w:cantSplit/>
          <w:tblHeader/>
        </w:trPr>
        <w:tc>
          <w:tcPr>
            <w:tcW w:type="dxa" w:w="495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Comentário ou sugestão</w:t>
            </w:r>
          </w:p>
        </w:tc>
      </w:tr>
      <w:tr>
        <w:trPr>
          <w:cantSplit/>
          <w:trHeight w:val="560" w:hRule="atLeast"/>
        </w:trPr>
        <w:tc>
          <w:tcPr>
            <w:tcW w:type="dxa" w:w="495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B1. A sequência proteja-se, avise a Defesa Civil (199) e aja com segurança é adequada ao público-alvo.</w:t>
            </w: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560" w:hRule="atLeast"/>
        </w:trPr>
        <w:tc>
          <w:tcPr>
            <w:tcW w:type="dxa" w:w="495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B2. As orientações sobre energia elétrica (desligar o disjuntor antes de a água atingir as tomadas) estão corretas.</w:t>
            </w: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560" w:hRule="atLeast"/>
        </w:trPr>
        <w:tc>
          <w:tcPr>
            <w:tcW w:type="dxa" w:w="495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B3. As orientações de não entrar na água, não voltar para buscar objetos e evacuar cedo estão corretas.</w:t>
            </w: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560" w:hRule="atLeast"/>
        </w:trPr>
        <w:tc>
          <w:tcPr>
            <w:tcW w:type="dxa" w:w="495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B4. A mochila de emergência e o Cartão de Emergência trazem itens e orientações adequados.</w:t>
            </w: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560" w:hRule="atLeast"/>
        </w:trPr>
        <w:tc>
          <w:tcPr>
            <w:tcW w:type="dxa" w:w="495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B5. Os números de telefone citados (199, 193, 192 e 190) e as menções a alertas estão corretos ou são adaptáveis ao município.</w:t>
            </w: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</w:tbl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C. Cenários e situações do jogo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58"/>
        <w:gridCol w:w="520"/>
        <w:gridCol w:w="520"/>
        <w:gridCol w:w="520"/>
        <w:gridCol w:w="520"/>
        <w:gridCol w:w="2600"/>
      </w:tblGrid>
      <w:tr>
        <w:trPr>
          <w:cantSplit/>
          <w:tblHeader/>
        </w:trPr>
        <w:tc>
          <w:tcPr>
            <w:tcW w:type="dxa" w:w="495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Comentário ou sugestão</w:t>
            </w:r>
          </w:p>
        </w:tc>
      </w:tr>
      <w:tr>
        <w:trPr>
          <w:cantSplit/>
          <w:trHeight w:val="560" w:hRule="atLeast"/>
        </w:trPr>
        <w:tc>
          <w:tcPr>
            <w:tcW w:type="dxa" w:w="495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C1. A fase de alagamento representa de forma realista a situação e as decisões possíveis.</w:t>
            </w: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560" w:hRule="atLeast"/>
        </w:trPr>
        <w:tc>
          <w:tcPr>
            <w:tcW w:type="dxa" w:w="495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C2. A fase de enxurrada representa de forma realista o perigo da correnteza e a rota segura.</w:t>
            </w: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560" w:hRule="atLeast"/>
        </w:trPr>
        <w:tc>
          <w:tcPr>
            <w:tcW w:type="dxa" w:w="495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C3. A fase de enchente representa de forma realista a subida do rio e o tempo disponível para agir.</w:t>
            </w: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560" w:hRule="atLeast"/>
        </w:trPr>
        <w:tc>
          <w:tcPr>
            <w:tcW w:type="dxa" w:w="495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C4. A fase de deslizamento representa de forma realista os sinais, a evacuação e o perigo do talude.</w:t>
            </w: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560" w:hRule="atLeast"/>
        </w:trPr>
        <w:tc>
          <w:tcPr>
            <w:tcW w:type="dxa" w:w="495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C5. Os perigos físicos do jogo (poço de visita sem tampão, correnteza e talude) transmitem a mensagem correta.</w:t>
            </w: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</w:tbl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D. Linguagem e mensagens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58"/>
        <w:gridCol w:w="520"/>
        <w:gridCol w:w="520"/>
        <w:gridCol w:w="520"/>
        <w:gridCol w:w="520"/>
        <w:gridCol w:w="2600"/>
      </w:tblGrid>
      <w:tr>
        <w:trPr>
          <w:cantSplit/>
          <w:tblHeader/>
        </w:trPr>
        <w:tc>
          <w:tcPr>
            <w:tcW w:type="dxa" w:w="495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Comentário ou sugestão</w:t>
            </w:r>
          </w:p>
        </w:tc>
      </w:tr>
      <w:tr>
        <w:trPr>
          <w:cantSplit/>
          <w:trHeight w:val="560" w:hRule="atLeast"/>
        </w:trPr>
        <w:tc>
          <w:tcPr>
            <w:tcW w:type="dxa" w:w="495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D1. A linguagem é clara e adequada a estudantes do 6º ao 9º ano.</w:t>
            </w: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560" w:hRule="atLeast"/>
        </w:trPr>
        <w:tc>
          <w:tcPr>
            <w:tcW w:type="dxa" w:w="495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D2. As afirmações de mito ou verdade e as explicações são corretas e úteis.</w:t>
            </w: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560" w:hRule="atLeast"/>
        </w:trPr>
        <w:tc>
          <w:tcPr>
            <w:tcW w:type="dxa" w:w="495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D3. As mensagens de erro (game over) explicam sem culpar e sem causar medo excessivo.</w:t>
            </w: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560" w:hRule="atLeast"/>
        </w:trPr>
        <w:tc>
          <w:tcPr>
            <w:tcW w:type="dxa" w:w="495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D4. O quiz e o glossário são corretos e coerentes com o conteúdo do jogo.</w:t>
            </w: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</w:tbl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E. Adequação pedagógica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58"/>
        <w:gridCol w:w="520"/>
        <w:gridCol w:w="520"/>
        <w:gridCol w:w="520"/>
        <w:gridCol w:w="520"/>
        <w:gridCol w:w="2600"/>
      </w:tblGrid>
      <w:tr>
        <w:trPr>
          <w:cantSplit/>
          <w:tblHeader/>
        </w:trPr>
        <w:tc>
          <w:tcPr>
            <w:tcW w:type="dxa" w:w="495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Comentário ou sugestão</w:t>
            </w:r>
          </w:p>
        </w:tc>
      </w:tr>
      <w:tr>
        <w:trPr>
          <w:cantSplit/>
          <w:trHeight w:val="560" w:hRule="atLeast"/>
        </w:trPr>
        <w:tc>
          <w:tcPr>
            <w:tcW w:type="dxa" w:w="495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E1. Os objetivos de aprendizagem são claros e coerentes com a educação para redução de riscos.</w:t>
            </w: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560" w:hRule="atLeast"/>
        </w:trPr>
        <w:tc>
          <w:tcPr>
            <w:tcW w:type="dxa" w:w="495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E2. A pressão de tempo (relógio) é adequada e o modo sem relógio é uma alternativa útil.</w:t>
            </w: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560" w:hRule="atLeast"/>
        </w:trPr>
        <w:tc>
          <w:tcPr>
            <w:tcW w:type="dxa" w:w="495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E3. O jogo pode ser integrado a ações educativas existentes (palestras, oficinas, semana de prevenção).</w:t>
            </w: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</w:tbl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F. Aplicabilidade e inclusão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58"/>
        <w:gridCol w:w="520"/>
        <w:gridCol w:w="520"/>
        <w:gridCol w:w="520"/>
        <w:gridCol w:w="520"/>
        <w:gridCol w:w="2600"/>
      </w:tblGrid>
      <w:tr>
        <w:trPr>
          <w:cantSplit/>
          <w:tblHeader/>
        </w:trPr>
        <w:tc>
          <w:tcPr>
            <w:tcW w:type="dxa" w:w="495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Comentário ou sugestão</w:t>
            </w:r>
          </w:p>
        </w:tc>
      </w:tr>
      <w:tr>
        <w:trPr>
          <w:cantSplit/>
          <w:trHeight w:val="560" w:hRule="atLeast"/>
        </w:trPr>
        <w:tc>
          <w:tcPr>
            <w:tcW w:type="dxa" w:w="495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F1. O plano de aula e as atividades são viáveis em escolas públicas.</w:t>
            </w: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560" w:hRule="atLeast"/>
        </w:trPr>
        <w:tc>
          <w:tcPr>
            <w:tcW w:type="dxa" w:w="495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F2. O jogo funciona bem com poucos aparelhos e em ambientes com poucos recursos.</w:t>
            </w: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560" w:hRule="atLeast"/>
        </w:trPr>
        <w:tc>
          <w:tcPr>
            <w:tcW w:type="dxa" w:w="495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19"/>
                <w:szCs w:val="19"/>
              </w:rPr>
              <w:t xml:space="preserve">F3. As opções de acessibilidade (modo calmo, som e alto contraste) são adequadas.</w:t>
            </w: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52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</w:tbl>
    <w:p>
      <w:pPr>
        <w:spacing w:after="120" w:before="80" w:line="276"/>
      </w:pPr>
      <w:r>
        <w:rPr>
          <w:rFonts w:ascii="Calibri" w:cs="Calibri" w:eastAsia="Calibri" w:hAnsi="Calibri"/>
          <w:color w:val="4A5A73"/>
          <w:sz w:val="18"/>
          <w:szCs w:val="18"/>
        </w:rPr>
        <w:t xml:space="preserve">Total: 24 itens.</w:t>
      </w:r>
    </w:p>
    <w:p>
      <w:pPr>
        <w:pStyle w:val="Heading1"/>
        <w:keepNext/>
        <w:pBdr>
          <w:bottom w:val="single" w:color="F5C451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B2E"/>
          <w:sz w:val="32"/>
          <w:szCs w:val="32"/>
        </w:rPr>
        <w:t xml:space="preserve">Instrumento 5: Ficha de observação técnica (durante o jogo)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Dupla ou código: ______________   Fase jogada: ______________   Data: ___/___/______</w:t>
      </w:r>
    </w:p>
    <w:p>
      <w:pPr>
        <w:spacing w:after="120" w:before="0" w:line="276"/>
      </w:pPr>
      <w:r>
        <w:rPr>
          <w:rFonts w:ascii="Calibri" w:cs="Calibri" w:eastAsia="Calibri" w:hAnsi="Calibri"/>
          <w:color w:val="4A5A73"/>
          <w:sz w:val="20"/>
          <w:szCs w:val="20"/>
        </w:rPr>
        <w:t xml:space="preserve">Anote o que chamar a atenção enquanto joga. Tipos: conceito, terminologia, protocolo, realismo, linguagem, técnico (erro ou falha) e acessibilidade. Gravidade: baixa, média ou alta.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300"/>
        <w:gridCol w:w="1300"/>
        <w:gridCol w:w="1100"/>
        <w:gridCol w:w="2438"/>
      </w:tblGrid>
      <w:tr>
        <w:trPr>
          <w:cantSplit/>
          <w:tblHeader/>
        </w:trPr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 ou tela</w:t>
            </w:r>
          </w:p>
        </w:tc>
        <w:tc>
          <w:tcPr>
            <w:tcW w:type="dxa" w:w="3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observei</w:t>
            </w:r>
          </w:p>
        </w:tc>
        <w:tc>
          <w:tcPr>
            <w:tcW w:type="dxa" w:w="1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Gravidade</w:t>
            </w:r>
          </w:p>
        </w:tc>
        <w:tc>
          <w:tcPr>
            <w:tcW w:type="dxa" w:w="2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Sugestão</w:t>
            </w:r>
          </w:p>
        </w:tc>
      </w:tr>
      <w:tr>
        <w:trPr>
          <w:cantSplit/>
          <w:trHeight w:val="800" w:hRule="atLeast"/>
        </w:trPr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3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800" w:hRule="atLeast"/>
        </w:trPr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3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800" w:hRule="atLeast"/>
        </w:trPr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3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800" w:hRule="atLeast"/>
        </w:trPr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3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800" w:hRule="atLeast"/>
        </w:trPr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3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800" w:hRule="atLeast"/>
        </w:trPr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3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800" w:hRule="atLeast"/>
        </w:trPr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3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800" w:hRule="atLeast"/>
        </w:trPr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3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800" w:hRule="atLeast"/>
        </w:trPr>
        <w:tc>
          <w:tcPr>
            <w:tcW w:type="dxa" w:w="1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3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F5C451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B2E"/>
          <w:sz w:val="32"/>
          <w:szCs w:val="32"/>
        </w:rPr>
        <w:t xml:space="preserve">Instrumento 6: Roteiro da roda de conversa (10 min)</w:t>
      </w:r>
    </w:p>
    <w:p>
      <w:pPr>
        <w:pStyle w:val="ListParagraph"/>
        <w:keepLines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O que o jogo faz bem para ensinar decisão e protocolo?</w:t>
      </w:r>
    </w:p>
    <w:p>
      <w:pPr>
        <w:pStyle w:val="ListParagraph"/>
        <w:keepLines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O que você mudaria antes de levá-lo a uma escola?</w:t>
      </w:r>
    </w:p>
    <w:p>
      <w:pPr>
        <w:pStyle w:val="ListParagraph"/>
        <w:keepLines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Que adaptações locais seriam necessárias no seu município (fenômenos, telefones, alertas)?</w:t>
      </w:r>
    </w:p>
    <w:p>
      <w:pPr>
        <w:pStyle w:val="ListParagraph"/>
        <w:keepLines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Como a sua instituição poderia apoiar o uso do jogo nas escolas?</w:t>
      </w:r>
    </w:p>
    <w:p>
      <w:pPr>
        <w:pStyle w:val="ListParagraph"/>
        <w:keepLines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Que evidências você gostaria de ver para recomendar o jogo?</w:t>
      </w:r>
    </w:p>
    <w:p>
      <w:pPr>
        <w:pStyle w:val="ListParagraph"/>
        <w:keepLines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Que pesquisa faria sentido fazer em parceria?</w:t>
      </w:r>
    </w:p>
    <w:p>
      <w:pPr>
        <w:spacing w:after="120" w:before="10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Registro do aplicador.</w:t>
      </w:r>
      <w:r>
        <w:rPr>
          <w:rFonts w:ascii="Calibri" w:cs="Calibri" w:eastAsia="Calibri" w:hAnsi="Calibri"/>
          <w:color w:val="14213D"/>
          <w:sz w:val="21"/>
          <w:szCs w:val="21"/>
        </w:rPr>
        <w:t xml:space="preserve"> Anote as falas sem identificar quem falou. Ao final, leia em voz alta o resumo e pergunte se algo importante ficou de fora.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600" w:hRule="atLeast"/>
        </w:trPr>
        <w:tc>
          <w:tcPr>
            <w:tcW w:type="dxa" w:w="96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20"/>
                <w:szCs w:val="20"/>
              </w:rPr>
              <w:t xml:space="preserve">Anotações da roda de conversa: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F5C451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B2E"/>
          <w:sz w:val="32"/>
          <w:szCs w:val="32"/>
        </w:rPr>
        <w:t xml:space="preserve">4. Como analisar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438"/>
      </w:tblGrid>
      <w:tr>
        <w:trPr>
          <w:cantSplit/>
        </w:trPr>
        <w:tc>
          <w:tcPr>
            <w:tcW w:type="dxa" w:w="3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Índice de validade de conteúdo por item (I-CVI)</w:t>
            </w:r>
          </w:p>
        </w:tc>
        <w:tc>
          <w:tcPr>
            <w:tcW w:type="dxa" w:w="6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Número de especialistas que atribuíram nota 3 ou 4 dividido pelo total de especialistas que avaliaram o item.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Referência do I-CVI</w:t>
            </w:r>
          </w:p>
        </w:tc>
        <w:tc>
          <w:tcPr>
            <w:tcW w:type="dxa" w:w="6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Com até 5 especialistas, o usual é exigir concordância total (1,00). Com 6 ou mais, o valor de referência é I-CVI ≥ 0,78 (Lynn, 1986). Itens abaixo do valor devem ser revisados.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Índice geral (S-CVI/Ave)</w:t>
            </w:r>
          </w:p>
        </w:tc>
        <w:tc>
          <w:tcPr>
            <w:tcW w:type="dxa" w:w="6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Média dos I-CVI de todos os itens (ou de cada dimensão). Referência usual: ≥ 0,90 (Polit; Beck, 2006).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Pré e pós</w:t>
            </w:r>
          </w:p>
        </w:tc>
        <w:tc>
          <w:tcPr>
            <w:tcW w:type="dxa" w:w="6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Compare as médias dos cinco itens de confiança antes e depois. Com poucos participantes, apresente os dados de forma descritiva e, se quiser testar, use o teste de Wilcoxon para amostras pareadas.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Experiência e intenção de uso</w:t>
            </w:r>
          </w:p>
        </w:tc>
        <w:tc>
          <w:tcPr>
            <w:tcW w:type="dxa" w:w="6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Apresente a porcentagem de concordância (notas 4 e 5) por item. Analise os itens negativos separadamente.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Comentários e observações técnicas</w:t>
            </w:r>
          </w:p>
        </w:tc>
        <w:tc>
          <w:tcPr>
            <w:tcW w:type="dxa" w:w="64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Leia todos, agrupe por tipo e gravidade e registre no quadro de decisões o que será mantido, ajustado ou removido.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5533D" w:sz="24"/>
              <w:bottom w:val="none" w:color="FFFFFF" w:sz="0"/>
              <w:right w:val="none" w:color="FFFFFF" w:sz="0"/>
            </w:tcBorders>
            <w:shd w:fill="EAF4FB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2"/>
                <w:szCs w:val="22"/>
              </w:rPr>
              <w:t xml:space="preserve">Limites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21"/>
                <w:szCs w:val="21"/>
              </w:rPr>
              <w:t xml:space="preserve">O índice de validade de conteúdo avalia adequação e relevância segundo especialistas; não mede aprendizagem nem substitui um estudo com estudantes.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21"/>
                <w:szCs w:val="21"/>
              </w:rPr>
              <w:t xml:space="preserve">Uma turma de oficina é uma amostra de conveniência e pequena: não generalize.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21"/>
                <w:szCs w:val="21"/>
              </w:rPr>
              <w:t xml:space="preserve">A participação é voluntária e o grupo pode ter mais interesse em jogos do que a média.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21"/>
                <w:szCs w:val="21"/>
              </w:rPr>
              <w:t xml:space="preserve">As escalas de confiança e experiência não foram validadas.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B78A8"/>
          <w:sz w:val="26"/>
          <w:szCs w:val="26"/>
        </w:rPr>
        <w:t xml:space="preserve">Quadro de decisões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Registre o que será feito a partir da avaliação, por item com I-CVI abaixo da referência ou com sugestões relevantes.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900"/>
        <w:gridCol w:w="2700"/>
        <w:gridCol w:w="2100"/>
        <w:gridCol w:w="1300"/>
        <w:gridCol w:w="1338"/>
      </w:tblGrid>
      <w:tr>
        <w:trPr>
          <w:cantSplit/>
          <w:tblHeader/>
        </w:trPr>
        <w:tc>
          <w:tcPr>
            <w:tcW w:type="dxa" w:w="1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Item</w:t>
            </w:r>
          </w:p>
        </w:tc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I-CVI</w:t>
            </w:r>
          </w:p>
        </w:tc>
        <w:tc>
          <w:tcPr>
            <w:tcW w:type="dxa" w:w="27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Sugestão dos especialistas</w:t>
            </w:r>
          </w:p>
        </w:tc>
        <w:tc>
          <w:tcPr>
            <w:tcW w:type="dxa" w:w="2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Decisão (manter, ajustar ou remover)</w:t>
            </w:r>
          </w:p>
        </w:tc>
        <w:tc>
          <w:tcPr>
            <w:tcW w:type="dxa" w:w="1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Responsável</w:t>
            </w:r>
          </w:p>
        </w:tc>
        <w:tc>
          <w:tcPr>
            <w:tcW w:type="dxa" w:w="13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Versão do jogo</w:t>
            </w:r>
          </w:p>
        </w:tc>
      </w:tr>
      <w:tr>
        <w:trPr>
          <w:cantSplit/>
          <w:trHeight w:val="480" w:hRule="atLeast"/>
        </w:trPr>
        <w:tc>
          <w:tcPr>
            <w:tcW w:type="dxa" w:w="1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7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3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480" w:hRule="atLeast"/>
        </w:trPr>
        <w:tc>
          <w:tcPr>
            <w:tcW w:type="dxa" w:w="1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7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3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480" w:hRule="atLeast"/>
        </w:trPr>
        <w:tc>
          <w:tcPr>
            <w:tcW w:type="dxa" w:w="1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9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7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2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3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  <w:tc>
          <w:tcPr>
            <w:tcW w:type="dxa" w:w="13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</w:tbl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B78A8"/>
          <w:sz w:val="26"/>
          <w:szCs w:val="26"/>
        </w:rPr>
        <w:t xml:space="preserve">Referências</w:t>
      </w:r>
    </w:p>
    <w:p>
      <w:pPr>
        <w:spacing w:after="90" w:before="0" w:line="276"/>
        <w:ind w:left="340" w:hanging="34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LYNN, M. R. Determination and quantification of content validity. Nursing Research, v. 35, n. 6, p. 382-386, 1986.</w:t>
      </w:r>
    </w:p>
    <w:p>
      <w:pPr>
        <w:spacing w:after="90" w:before="0" w:line="276"/>
        <w:ind w:left="340" w:hanging="34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POLIT, D. F.; BECK, C. T. The content validity index: are you sure you know what's being reported? Critique and recommendations. Research in Nursing &amp; Health, v. 29, n. 5, p. 489-497, 2006.</w:t>
      </w:r>
    </w:p>
    <w:p>
      <w:pPr>
        <w:spacing w:after="90" w:before="0" w:line="276"/>
        <w:ind w:left="340" w:hanging="34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BRASIL. Conselho Nacional de Saúde. Resolução nº 510, de 7 de abril de 2016.</w:t>
      </w:r>
    </w:p>
    <w:p>
      <w:r>
        <w:rPr>
          <w:rFonts w:ascii="Calibri" w:hAnsi="Calibri"/>
          <w:color w:val="4A5A73"/>
          <w:sz w:val="18"/>
        </w:rPr>
        <w:t>Material do projeto HIDRO: Redução de Riscos. Programa de computador registrado no INPI sob o processo nº BR 51 2026 009207-8, titularidade da UFGD.</w:t>
      </w:r>
    </w:p>
    <w:sectPr>
      <w:headerReference w:type="default" r:id="rId7"/>
      <w:footerReference w:type="default" r:id="rId8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right"/>
    </w:pPr>
    <w:r>
      <w:rPr>
        <w:rFonts w:ascii="Calibri" w:cs="Calibri" w:eastAsia="Calibri" w:hAnsi="Calibri"/>
        <w:color w:val="4A5A73"/>
        <w:sz w:val="16"/>
        <w:szCs w:val="16"/>
      </w:rPr>
      <w:t xml:space="preserve">Antonio Idêrlian Pereira de Sousa   |   Página </w:t>
    </w:r>
    <w:r>
      <w:rPr>
        <w:rFonts w:ascii="Calibri" w:cs="Calibri" w:eastAsia="Calibri" w:hAnsi="Calibri"/>
        <w:color w:val="4A5A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4" w:sz="6" w:space="4"/>
      </w:pBdr>
      <w:spacing w:after="0"/>
    </w:pPr>
    <w:r>
      <w:rPr>
        <w:rFonts w:ascii="Calibri" w:cs="Calibri" w:eastAsia="Calibri" w:hAnsi="Calibri"/>
        <w:b/>
        <w:bCs/>
        <w:color w:val="1B78A8"/>
        <w:sz w:val="18"/>
        <w:szCs w:val="18"/>
      </w:rPr>
      <w:t xml:space="preserve">HIDRO: Redução de Riscos</w:t>
    </w:r>
    <w:r>
      <w:rPr>
        <w:rFonts w:ascii="Calibri" w:cs="Calibri" w:eastAsia="Calibri" w:hAnsi="Calibri"/>
        <w:color w:val="4A5A73"/>
        <w:sz w:val="18"/>
        <w:szCs w:val="18"/>
      </w:rPr>
      <w:t xml:space="preserve">   |   Instrumentos da oficina (agentes e pesquisadores)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213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4d9613b0cfa4d945ed10552a1853c4dcc773189.png"/><Relationship Id="rId10" Type="http://schemas.openxmlformats.org/officeDocument/2006/relationships/image" Target="media/6001948cdd996b3f3809a7ef5f21d90a49237e31.png"/><Relationship Id="rId11" Type="http://schemas.openxmlformats.org/officeDocument/2006/relationships/image" Target="media/687f719f89e99e954debf2c3cff16cfa9a217f04.png"/><Relationship Id="rId12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Instrumentos da oficina (agentes e pesquisadores)</dc:title>
  <dc:creator>Antonio Idêrlian Pereira de Sousa</dc:creator>
  <dc:description>Material do projeto HIDRO: Redução de Riscos</dc:description>
  <cp:lastModifiedBy>Un-named</cp:lastModifiedBy>
  <cp:revision>1</cp:revision>
  <dcterms:created xsi:type="dcterms:W3CDTF">2026-09-22T12:20:56.006Z</dcterms:created>
  <dcterms:modified xsi:type="dcterms:W3CDTF">2026-09-22T12:20:56.007Z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