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0F1B2E" w:sz="0"/>
              <w:left w:val="none" w:color="0F1B2E" w:sz="0"/>
              <w:bottom w:val="single" w:color="F5C451" w:sz="36"/>
              <w:right w:val="none" w:color="0F1B2E" w:sz="0"/>
            </w:tcBorders>
            <w:shd w:fill="0F1B2E" w:color="auto" w:val="clear"/>
            <w:tcMar>
              <w:top w:type="dxa" w:w="260"/>
              <w:left w:type="dxa" w:w="300"/>
              <w:bottom w:type="dxa" w:w="280"/>
              <w:right w:type="dxa" w:w="300"/>
            </w:tcMar>
          </w:tcPr>
          <w:p>
            <w:pPr>
              <w:spacing w:after="120" w:before="0" w:line="300"/>
            </w:pPr>
            <w:r>
              <w:rPr>
                <w:rFonts w:ascii="Calibri" w:cs="Calibri" w:eastAsia="Calibri" w:hAnsi="Calibri"/>
                <w:b/>
                <w:bCs/>
                <w:color w:val="F5C451"/>
                <w:sz w:val="18"/>
                <w:szCs w:val="18"/>
              </w:rPr>
              <w:t xml:space="preserve">MATERIAL DO PROFESSOR</w:t>
            </w:r>
          </w:p>
          <w:p>
            <w:pPr>
              <w:spacing w:after="120" w:before="40" w:line="30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Plano de aula: HIDRO, decidir para proteger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BFE3F6"/>
                <w:sz w:val="24"/>
                <w:szCs w:val="24"/>
              </w:rPr>
              <w:t xml:space="preserve">Educação para a redução de riscos de desastres hidrológicos no Ensino Fundamental (anos finais)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628650"/>
                  <wp:effectExtent t="0" r="0" b="0" l="0"/>
                  <wp:docPr id="1" name="img" descr="Logo da UFGD" title="Logo da UFG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666750"/>
                  <wp:effectExtent t="0" r="0" b="0" l="0"/>
                  <wp:docPr id="1" name="img" descr="Logo da FCA/UFGD" title="Logo da FCA/UFG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619125"/>
                  <wp:effectExtent t="0" r="0" b="0" l="0"/>
                  <wp:docPr id="1" name="img" descr="Logo do PPGG/UFGD" title="Logo do PPGG/UFG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1. Identificação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Etapa e anos</w:t>
            </w:r>
          </w:p>
        </w:tc>
        <w:tc>
          <w:tcPr>
            <w:tcW w:type="dxa" w:w="70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Ensino Fundamental, anos finais (6º ao 9º ano). Em escolas públicas e privadas.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Componente principal</w:t>
            </w:r>
          </w:p>
        </w:tc>
        <w:tc>
          <w:tcPr>
            <w:tcW w:type="dxa" w:w="70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Geografia, com integração a Ciências, Matemática e Língua Portuguesa.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Duração</w:t>
            </w:r>
          </w:p>
        </w:tc>
        <w:tc>
          <w:tcPr>
            <w:tcW w:type="dxa" w:w="70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2 aulas de 50 minutos (100 min). Há uma versão para 1 aula (50 min) mais adiante.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Tema</w:t>
            </w:r>
          </w:p>
        </w:tc>
        <w:tc>
          <w:tcPr>
            <w:tcW w:type="dxa" w:w="70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Alagamento, enxurrada, enchente e/ou inundação, e deslizamento; protocolo de autoproteção.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Recursos principais</w:t>
            </w:r>
          </w:p>
        </w:tc>
        <w:tc>
          <w:tcPr>
            <w:tcW w:type="dxa" w:w="70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Jogo HIDRO no navegador (computador, tablet ou celular), slides da oficina, fichas impressas e cartões de mito ou verdade.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Organização</w:t>
            </w:r>
          </w:p>
        </w:tc>
        <w:tc>
          <w:tcPr>
            <w:tcW w:type="dxa" w:w="70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Duplas ou trios. Com poucos aparelhos: grupos com rodízio ou modo turma (jogo projetado e decisões por votação).</w:t>
            </w:r>
          </w:p>
        </w:tc>
      </w:tr>
    </w:tbl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2. Tema e justificativa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O Brasil convive com chuvas intensas que geram alagamentos, enxurradas, enchentes e deslizamentos. A escola é um espaço privilegiado para formar pessoas que reconhecem sinais de perigo, sabem a quem pedir ajuda e cuidam umas das outras.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A Lei 12.608/2012, que instituiu a Política Nacional de Proteção e Defesa Civil, acrescentou à LDB a orientação de que os currículos do ensino fundamental e médio incluam os princípios da proteção e defesa civil, de forma integrada aos conteúdos obrigatórios. O Marco de Sendai (2015-2030) também prioriza a incorporação do conhecimento sobre o risco de desastres na educação e reconhece crianças e jovens como agentes de mudança. Atenção: o art. 26 da LDB foi reorganizado depois de 2012; confira a redação vigente antes de citar o parágrafo em documentos oficiais.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O jogo HIDRO permite treinar decisões em um ambiente seguro, com retorno imediato sobre acertos e erros. Ele não substitui simulados, treinamentos e orientações da Defesa Civil local, mas prepara o terreno para eles. O uso do jogo é uma proposta didática cuja efetividade ainda está em avaliação (veja o material de avaliação deste site).</w:t>
      </w: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3. Objetivos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Objetivo geral.</w:t>
      </w:r>
      <w:r>
        <w:rPr>
          <w:rFonts w:ascii="Calibri" w:cs="Calibri" w:eastAsia="Calibri" w:hAnsi="Calibri"/>
          <w:color w:val="14213D"/>
          <w:sz w:val="22"/>
          <w:szCs w:val="22"/>
        </w:rPr>
        <w:t xml:space="preserve"> Compreender as diferenças entre alagamento, enxurrada, enchente, inundação e deslizamento, e aplicar o protocolo básico de autoproteção (proteja-se, avise, aja) em situações simuladas.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Ao final, o estudante será capaz de:</w:t>
      </w:r>
    </w:p>
    <w:p>
      <w:pPr>
        <w:pStyle w:val="ListParagraph"/>
        <w:keepLines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Diferenciar os quatro fenômenos, usando o nome correto e dando exemplos.</w:t>
      </w:r>
    </w:p>
    <w:p>
      <w:pPr>
        <w:pStyle w:val="ListParagraph"/>
        <w:keepLines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Explicar por que a impermeabilização do solo e a drenagem entupida aumentam o escoamento superficial em áreas urbanas.</w:t>
      </w:r>
    </w:p>
    <w:p>
      <w:pPr>
        <w:pStyle w:val="ListParagraph"/>
        <w:keepLines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Reconhecer sinais de alerta (por exemplo, rachaduras na encosta, subida do rio, água veloz na rua).</w:t>
      </w:r>
    </w:p>
    <w:p>
      <w:pPr>
        <w:pStyle w:val="ListParagraph"/>
        <w:keepLines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Aplicar a sequência proteja-se, avise a Defesa Civil (199) e aja com segurança.</w:t>
      </w:r>
    </w:p>
    <w:p>
      <w:pPr>
        <w:pStyle w:val="ListParagraph"/>
        <w:keepLines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Justificar as decisões tomadas no jogo com base nos conceitos estudados.</w:t>
      </w:r>
    </w:p>
    <w:p>
      <w:pPr>
        <w:pStyle w:val="ListParagraph"/>
        <w:keepLines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Levar o aprendizado para a família por meio do Cartão de Emergência.</w:t>
      </w: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4. Articulação com a BNCC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5C451" w:sz="24"/>
              <w:bottom w:val="none" w:color="FFFFFF" w:sz="0"/>
              <w:right w:val="none" w:color="FFFFFF" w:sz="0"/>
            </w:tcBorders>
            <w:shd w:fill="EAF4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2"/>
                <w:szCs w:val="22"/>
              </w:rPr>
              <w:t xml:space="preserve">Como usar esta seção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Os textos abaixo são citações literais da BNCC (Brasil, 2018). Alguns currículos estaduais e municipais adaptam a redação ou o código; confira o do seu sistema de ensino. A relação com o jogo é uma proposta de articulação: escolha as habilidades que dialogam com o seu planejamento.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Competências gerais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2600"/>
        <w:gridCol w:w="6138"/>
      </w:tblGrid>
      <w:tr>
        <w:trPr>
          <w:cantSplit/>
          <w:tblHeader/>
        </w:trPr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CG</w:t>
            </w: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Competência</w:t>
            </w:r>
          </w:p>
        </w:tc>
        <w:tc>
          <w:tcPr>
            <w:tcW w:type="dxa" w:w="6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Relação com a proposta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Conhecimento</w:t>
            </w:r>
          </w:p>
        </w:tc>
        <w:tc>
          <w:tcPr>
            <w:tcW w:type="dxa" w:w="6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Valorizar e utilizar conhecimentos historicamente construídos sobre o mundo físico e social.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Pensamento científico, crítico e criativo</w:t>
            </w:r>
          </w:p>
        </w:tc>
        <w:tc>
          <w:tcPr>
            <w:tcW w:type="dxa" w:w="6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Investigar causas, elaborar e testar hipóteses (por exemplo, nos experimentos de infiltração e de encosta).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Cultura digital</w:t>
            </w:r>
          </w:p>
        </w:tc>
        <w:tc>
          <w:tcPr>
            <w:tcW w:type="dxa" w:w="6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Usar tecnologias digitais de forma crítica e significativa (o jogo, planilhas e mapas digitais).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Argumentação</w:t>
            </w:r>
          </w:p>
        </w:tc>
        <w:tc>
          <w:tcPr>
            <w:tcW w:type="dxa" w:w="6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Defender ideias e decisões com base em informações confiáveis (justificar as escolhas no jogo).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Autoconhecimento e autocuidado</w:t>
            </w:r>
          </w:p>
        </w:tc>
        <w:tc>
          <w:tcPr>
            <w:tcW w:type="dxa" w:w="6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Cuidar de si e dos outros em situações de risco.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Empatia e cooperação</w:t>
            </w:r>
          </w:p>
        </w:tc>
        <w:tc>
          <w:tcPr>
            <w:tcW w:type="dxa" w:w="6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Agir com empatia e cooperação (proteger vizinhos, idosos, crianças e animais).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Responsabilidade e cidadania</w:t>
            </w:r>
          </w:p>
        </w:tc>
        <w:tc>
          <w:tcPr>
            <w:tcW w:type="dxa" w:w="6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Agir com responsabilidade, princípios democráticos e sustentáveis (papel de cada pessoa e do poder público).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Temas Contemporâneos Transversais: Meio Ambiente (educação ambiental), Cidadania e Civismo e Ciência e Tecnologia.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Habilidades (citações literais da BNCC)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500"/>
        <w:gridCol w:w="7238"/>
      </w:tblGrid>
      <w:tr>
        <w:trPr>
          <w:cantSplit/>
          <w:tblHeader/>
        </w:trPr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Ano</w:t>
            </w:r>
          </w:p>
        </w:tc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 e código</w:t>
            </w:r>
          </w:p>
        </w:tc>
        <w:tc>
          <w:tcPr>
            <w:tcW w:type="dxa" w:w="7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Habilidade e relação com o HIDRO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6º</w:t>
            </w:r>
          </w:p>
        </w:tc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Geografia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color w:val="1B78A8"/>
                <w:sz w:val="19"/>
                <w:szCs w:val="19"/>
              </w:rPr>
              <w:t xml:space="preserve">EF06GE04</w:t>
            </w:r>
          </w:p>
        </w:tc>
        <w:tc>
          <w:tcPr>
            <w:tcW w:type="dxa" w:w="7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“Descrever o ciclo da água, comparando o escoamento superficial no ambiente urbano e rural, reconhecendo os principais componentes da morfologia das bacias e das redes hidrográficas e a sua localização no modelado da superfície terrestre e da cobertura vegetal.”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Relação com a proposta:</w:t>
            </w: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 Infiltração e escoamento na cidade e no campo; gráfico do escoamento; atividade Chuva na maquete.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6º</w:t>
            </w:r>
          </w:p>
        </w:tc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Geografia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color w:val="1B78A8"/>
                <w:sz w:val="19"/>
                <w:szCs w:val="19"/>
              </w:rPr>
              <w:t xml:space="preserve">EF06GE09</w:t>
            </w:r>
          </w:p>
        </w:tc>
        <w:tc>
          <w:tcPr>
            <w:tcW w:type="dxa" w:w="7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“Elaborar modelos tridimensionais, blocos-diagramas e perfis topográficos e de vegetação, visando à representação de elementos e estruturas da superfície terrestre.”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Relação com a proposta:</w:t>
            </w: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 Atividade Encosta em caixa: maquete de encosta com e sem cobertura vegetal.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6º</w:t>
            </w:r>
          </w:p>
        </w:tc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Geografia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color w:val="1B78A8"/>
                <w:sz w:val="19"/>
                <w:szCs w:val="19"/>
              </w:rPr>
              <w:t xml:space="preserve">EF06GE12</w:t>
            </w:r>
          </w:p>
        </w:tc>
        <w:tc>
          <w:tcPr>
            <w:tcW w:type="dxa" w:w="7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“Identificar o consumo dos recursos hídricos e o uso das principais bacias hidrográficas no Brasil e no mundo, enfatizando as transformações nos ambientes urbanos.”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Relação com a proposta:</w:t>
            </w: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 Articulação com o papel dos rios e da drenagem urbana (Fase 3 e microdrenagem).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6º</w:t>
            </w:r>
          </w:p>
        </w:tc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Matemática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color w:val="1B78A8"/>
                <w:sz w:val="19"/>
                <w:szCs w:val="19"/>
              </w:rPr>
              <w:t xml:space="preserve">EF06MA13</w:t>
            </w:r>
          </w:p>
        </w:tc>
        <w:tc>
          <w:tcPr>
            <w:tcW w:type="dxa" w:w="7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“Resolver e elaborar problemas que envolvam porcentagens, com base na ideia de proporcionalidade, sem fazer uso da “regra de três”, utilizando estratégias pessoais, cálculo mental e calculadora, em contextos de educação financeira, entre outros.”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Relação com a proposta:</w:t>
            </w: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 Porcentagem da chuva que escorre (experimento e gráfico).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6º</w:t>
            </w:r>
          </w:p>
        </w:tc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Matemática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color w:val="1B78A8"/>
                <w:sz w:val="19"/>
                <w:szCs w:val="19"/>
              </w:rPr>
              <w:t xml:space="preserve">EF06MA32</w:t>
            </w:r>
          </w:p>
        </w:tc>
        <w:tc>
          <w:tcPr>
            <w:tcW w:type="dxa" w:w="7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“Interpretar e resolver situações que envolvam dados de pesquisas sobre contextos ambientais, sustentabilidade, trânsito, consumo responsável, entre outros, apresentadas pela mídia em tabelas e em diferentes tipos de gráficos e redigir textos escritos com o objetivo de sintetizar conclusões.”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Relação com a proposta:</w:t>
            </w: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 Leitura do gráfico de escoamento e redação de conclusões.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6º</w:t>
            </w:r>
          </w:p>
        </w:tc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Matemática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color w:val="1B78A8"/>
                <w:sz w:val="19"/>
                <w:szCs w:val="19"/>
              </w:rPr>
              <w:t xml:space="preserve">EF06MA33</w:t>
            </w:r>
          </w:p>
        </w:tc>
        <w:tc>
          <w:tcPr>
            <w:tcW w:type="dxa" w:w="7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“Planejar e coletar dados de pesquisa referente a práticas sociais escolhidas pelos alunos e fazer uso de planilhas eletrônicas para registro, representação e interpretação das informações, em tabelas, vários tipos de gráficos e texto.”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Relação com a proposta:</w:t>
            </w: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 Coleta e registro dos dados do experimento e da caminhada de observação.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7º</w:t>
            </w:r>
          </w:p>
        </w:tc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Geografia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color w:val="1B78A8"/>
                <w:sz w:val="19"/>
                <w:szCs w:val="19"/>
              </w:rPr>
              <w:t xml:space="preserve">EF07GE09</w:t>
            </w:r>
          </w:p>
        </w:tc>
        <w:tc>
          <w:tcPr>
            <w:tcW w:type="dxa" w:w="7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“Interpretar e elaborar mapas temáticos e históricos, inclusive utilizando tecnologias digitais, com informações demográficas e econômicas do Brasil (cartogramas), identificando padrões espaciais, regionalizações e analogias espaciais.”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Relação com a proposta:</w:t>
            </w: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 Mapa de riscos do bairro (mapa temático). Adaptação local: a habilidade fala de dados do Brasil; o mapa do entorno treina a mesma leitura e elaboração.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7º</w:t>
            </w:r>
          </w:p>
        </w:tc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Geografia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color w:val="1B78A8"/>
                <w:sz w:val="19"/>
                <w:szCs w:val="19"/>
              </w:rPr>
              <w:t xml:space="preserve">EF07GE10</w:t>
            </w:r>
          </w:p>
        </w:tc>
        <w:tc>
          <w:tcPr>
            <w:tcW w:type="dxa" w:w="7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“Elaborar e interpretar gráficos de barras, gráficos de setores e histogramas, com base em dados socioeconômicos das regiões brasileiras.”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Relação com a proposta:</w:t>
            </w: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 Articulação parcial: os gráficos da oficina usam dados do experimento, mas treinam a mesma elaboração e leitura.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7º</w:t>
            </w:r>
          </w:p>
        </w:tc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Ciências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color w:val="1B78A8"/>
                <w:sz w:val="19"/>
                <w:szCs w:val="19"/>
              </w:rPr>
              <w:t xml:space="preserve">EF07CI08</w:t>
            </w:r>
          </w:p>
        </w:tc>
        <w:tc>
          <w:tcPr>
            <w:tcW w:type="dxa" w:w="7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“Avaliar como os impactos provocados por catástrofes naturais ou mudanças nos componentes físicos, biológicos ou sociais de um ecossistema afetam suas populações, podendo ameaçar ou provocar a extinção de espécies, alteração de hábitos, migração etc.”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Relação com a proposta:</w:t>
            </w: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 Impactos de enchentes e deslizamentos sobre pessoas, animais e ambiente.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7º</w:t>
            </w:r>
          </w:p>
        </w:tc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Matemática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color w:val="1B78A8"/>
                <w:sz w:val="19"/>
                <w:szCs w:val="19"/>
              </w:rPr>
              <w:t xml:space="preserve">EF07MA02</w:t>
            </w:r>
          </w:p>
        </w:tc>
        <w:tc>
          <w:tcPr>
            <w:tcW w:type="dxa" w:w="7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“Resolver e elaborar problemas que envolvam porcentagens, como os que lidam com acréscimos e decréscimos simples, utilizando estratégias pessoais, cálculo mental e calculadora, no contexto de educação financeira, entre outros.”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Relação com a proposta:</w:t>
            </w: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 Comparação de escoamento em superfícies diferentes (acréscimos e decréscimos percentuais).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8º</w:t>
            </w:r>
          </w:p>
        </w:tc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Ciências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color w:val="1B78A8"/>
                <w:sz w:val="19"/>
                <w:szCs w:val="19"/>
              </w:rPr>
              <w:t xml:space="preserve">EF08CI16</w:t>
            </w:r>
          </w:p>
        </w:tc>
        <w:tc>
          <w:tcPr>
            <w:tcW w:type="dxa" w:w="7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“Discutir iniciativas que contribuam para restabelecer o equilíbrio ambiental a partir da identificação de alterações climáticas regionais e globais provocadas pela intervenção humana.”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Relação com a proposta:</w:t>
            </w: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 Debate sobre prevenção, urbanização e eventos extremos (atividade Quem faz o quê?).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9º</w:t>
            </w:r>
          </w:p>
        </w:tc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Ciências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color w:val="1B78A8"/>
                <w:sz w:val="19"/>
                <w:szCs w:val="19"/>
              </w:rPr>
              <w:t xml:space="preserve">EF09CI13</w:t>
            </w:r>
          </w:p>
        </w:tc>
        <w:tc>
          <w:tcPr>
            <w:tcW w:type="dxa" w:w="7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“Propor iniciativas individuais e coletivas para a solução de problemas ambientais da cidade ou da comunidade, com base na análise de ações de consumo consciente e de sustentabilidade bem-sucedidas.”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Relação com a proposta:</w:t>
            </w: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 Campanha de comunicação de risco e propostas para o entorno da escola.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Língua Portuguesa: produção de textos instrucionais e de campanha (cartaz, podcast, vídeo curto). Confira as habilidades de práticas de linguagem do seu currículo.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Para o 8º e o 9º ano, a articulação se dá sobretudo por Ciências, pelas Competências Gerais e pelos temas transversais. Confira também, no seu currículo, as habilidades de Geografia da unidade temática Natureza, ambientes e qualidade de vida.</w:t>
      </w: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5. Metodologia</w:t>
      </w:r>
    </w:p>
    <w:p>
      <w:pPr>
        <w:pStyle w:val="ListParagraph"/>
        <w:keepLines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Sequência em quatro momentos: descobrir (base teórica), preparar (protocolo e regras do jogo), jogar (decisões em duplas) e refletir (roda de conversa e missão para casa).</w:t>
      </w:r>
    </w:p>
    <w:p>
      <w:pPr>
        <w:pStyle w:val="ListParagraph"/>
        <w:keepLines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Aprendizagem ativa e baseada em jogos: o estudante decide, erra em segurança, recebe explicação e tenta de novo.</w:t>
      </w:r>
    </w:p>
    <w:p>
      <w:pPr>
        <w:pStyle w:val="ListParagraph"/>
        <w:keepLines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Problematização: cada fase termina com uma pergunta para pensar, que liga a decisão do jogo ao conceito.</w:t>
      </w:r>
    </w:p>
    <w:p>
      <w:pPr>
        <w:pStyle w:val="ListParagraph"/>
        <w:keepLines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Mediação docente: o professor circula, faz perguntas e evita dar a resposta pronta.</w:t>
      </w: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6. Sequência didática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Aula 1 (50 min): Descobrir e preparar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300"/>
        <w:gridCol w:w="6338"/>
      </w:tblGrid>
      <w:tr>
        <w:trPr>
          <w:cantSplit/>
          <w:tblHeader/>
        </w:trPr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6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8 min</w:t>
            </w:r>
          </w:p>
        </w:tc>
        <w:tc>
          <w:tcPr>
            <w:tcW w:type="dxa" w:w="2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Acolhida e conhecimentos prévios</w:t>
            </w:r>
          </w:p>
        </w:tc>
        <w:tc>
          <w:tcPr>
            <w:tcW w:type="dxa" w:w="6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Faça as três perguntas de abertura (você já viu uma rua alagar? para onde a água some? o que você faria se ela começasse a subir?). Registre as respostas no quadro. Acolha relatos pessoais sem exigir que ninguém conte.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17 min</w:t>
            </w:r>
          </w:p>
        </w:tc>
        <w:tc>
          <w:tcPr>
            <w:tcW w:type="dxa" w:w="2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Base teórica</w:t>
            </w:r>
          </w:p>
        </w:tc>
        <w:tc>
          <w:tcPr>
            <w:tcW w:type="dxa" w:w="6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Infiltração e escoamento (diagrama), gráfico da chuva que escorre, microdrenagem (sarjeta, boca de lobo, poço de visita e tampão) e a ideia de risco = perigo × vulnerabilidade. Use perguntas ao longo da exposição.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10 min</w:t>
            </w:r>
          </w:p>
        </w:tc>
        <w:tc>
          <w:tcPr>
            <w:tcW w:type="dxa" w:w="2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Enchente e inundação não são sinônimos</w:t>
            </w:r>
          </w:p>
        </w:tc>
        <w:tc>
          <w:tcPr>
            <w:tcW w:type="dxa" w:w="6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Alagamento, enxurrada, deslizamento, e a dupla enchente/inundação (o rio sobe = enchente; se transborda = inundação). Os estudantes completam a tabela comparativa (onde acontece, como chega, perigo principal, ação-chave) e listam sinais de alerta.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10 min</w:t>
            </w:r>
          </w:p>
        </w:tc>
        <w:tc>
          <w:tcPr>
            <w:tcW w:type="dxa" w:w="2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Mito ou verdade</w:t>
            </w:r>
          </w:p>
        </w:tc>
        <w:tc>
          <w:tcPr>
            <w:tcW w:type="dxa" w:w="6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Cinco afirmações com votação por cartões (V e M). Discuta as respostas errôneas: elas parecem lógicas, e é isso que as torna perigosas.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5 min</w:t>
            </w:r>
          </w:p>
        </w:tc>
        <w:tc>
          <w:tcPr>
            <w:tcW w:type="dxa" w:w="2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Protocolo e regras do jogo</w:t>
            </w:r>
          </w:p>
        </w:tc>
        <w:tc>
          <w:tcPr>
            <w:tcW w:type="dxa" w:w="6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Proteja-se, avise (199) e aja com segurança. Apresente os controles e combine o convívio: falar baixo, ajudar sem tomar o controle, respeitar a vez de cada um.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Aula 2 (50 min): Jogar e refletir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300"/>
        <w:gridCol w:w="6338"/>
      </w:tblGrid>
      <w:tr>
        <w:trPr>
          <w:cantSplit/>
          <w:tblHeader/>
        </w:trPr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6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5 min</w:t>
            </w:r>
          </w:p>
        </w:tc>
        <w:tc>
          <w:tcPr>
            <w:tcW w:type="dxa" w:w="2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Organização</w:t>
            </w:r>
          </w:p>
        </w:tc>
        <w:tc>
          <w:tcPr>
            <w:tcW w:type="dxa" w:w="6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Formar duplas com papéis (piloto, navegador e repórter). Testar os controles. Quem precisar de menos estímulo liga o modo calmo (tecla C ou menu PAUSAR).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25 min</w:t>
            </w:r>
          </w:p>
        </w:tc>
        <w:tc>
          <w:tcPr>
            <w:tcW w:type="dxa" w:w="2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Jogo</w:t>
            </w:r>
          </w:p>
        </w:tc>
        <w:tc>
          <w:tcPr>
            <w:tcW w:type="dxa" w:w="6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Fase 1 e Fase 2 (ou 3 e 4, conforme a turma). A dupla preenche a ficha de observação. O professor circula com a pergunta para pensar de cada fase.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12 min</w:t>
            </w:r>
          </w:p>
        </w:tc>
        <w:tc>
          <w:tcPr>
            <w:tcW w:type="dxa" w:w="2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Roda de conversa</w:t>
            </w:r>
          </w:p>
        </w:tc>
        <w:tc>
          <w:tcPr>
            <w:tcW w:type="dxa" w:w="6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Perguntas: qual fase foi mais difícil? qual foi a decisão mais difícil? o que você faria diferente na vida real? que sinais de risco existem no nosso bairro? Sistematize no quadro.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8 min</w:t>
            </w:r>
          </w:p>
        </w:tc>
        <w:tc>
          <w:tcPr>
            <w:tcW w:type="dxa" w:w="2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Fechamento</w:t>
            </w:r>
          </w:p>
        </w:tc>
        <w:tc>
          <w:tcPr>
            <w:tcW w:type="dxa" w:w="6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Bilhete de saída (3 perguntas rápidas), entrega da missão para casa (Cartão de Emergência da Família) e retomada dos objetivos.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Versão para 1 aula (50 min)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300"/>
        <w:gridCol w:w="6338"/>
      </w:tblGrid>
      <w:tr>
        <w:trPr>
          <w:cantSplit/>
          <w:tblHeader/>
        </w:trPr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6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20 min</w:t>
            </w:r>
          </w:p>
        </w:tc>
        <w:tc>
          <w:tcPr>
            <w:tcW w:type="dxa" w:w="2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Descobrir</w:t>
            </w:r>
          </w:p>
        </w:tc>
        <w:tc>
          <w:tcPr>
            <w:tcW w:type="dxa" w:w="6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Slides essenciais (infiltração e escoamento, microdrenagem, os quatro fenômenos, protocolo).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5 min</w:t>
            </w:r>
          </w:p>
        </w:tc>
        <w:tc>
          <w:tcPr>
            <w:tcW w:type="dxa" w:w="2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Preparar</w:t>
            </w:r>
          </w:p>
        </w:tc>
        <w:tc>
          <w:tcPr>
            <w:tcW w:type="dxa" w:w="6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Controles e regras do jogo.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20 min</w:t>
            </w:r>
          </w:p>
        </w:tc>
        <w:tc>
          <w:tcPr>
            <w:tcW w:type="dxa" w:w="2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Jogar</w:t>
            </w:r>
          </w:p>
        </w:tc>
        <w:tc>
          <w:tcPr>
            <w:tcW w:type="dxa" w:w="6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Apenas a Fase 1 ou a Fase 2, em duplas.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5 min</w:t>
            </w:r>
          </w:p>
        </w:tc>
        <w:tc>
          <w:tcPr>
            <w:tcW w:type="dxa" w:w="2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Refletir</w:t>
            </w:r>
          </w:p>
        </w:tc>
        <w:tc>
          <w:tcPr>
            <w:tcW w:type="dxa" w:w="6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Duas perguntas da roda de conversa e bilhete de saída. A missão para casa fica como tarefa.</w:t>
            </w:r>
          </w:p>
        </w:tc>
      </w:tr>
    </w:tbl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7. Recursos e organização</w:t>
      </w:r>
    </w:p>
    <w:p>
      <w:pPr>
        <w:pStyle w:val="ListParagraph"/>
        <w:keepLines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Computadores, tablets ou celulares com navegador (o jogo também roda em projetor, para o modo turma).</w:t>
      </w:r>
    </w:p>
    <w:p>
      <w:pPr>
        <w:pStyle w:val="ListParagraph"/>
        <w:keepLines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Slides da oficina e do plano de aula (baixe na página Materiais).</w:t>
      </w:r>
    </w:p>
    <w:p>
      <w:pPr>
        <w:pStyle w:val="ListParagraph"/>
        <w:keepLines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Fichas impressas: ficha de observação, diário do Hidro, cartões de mito ou verdade, Cartão de Emergência.</w:t>
      </w:r>
    </w:p>
    <w:p>
      <w:pPr>
        <w:pStyle w:val="ListParagraph"/>
        <w:keepLines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Quadro, cartolina ou papel pardo para o quadro comparativo.</w:t>
      </w:r>
    </w:p>
    <w:p>
      <w:pPr>
        <w:pStyle w:val="ListParagraph"/>
        <w:keepLines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Fones de ouvido (opcionais) e local com pouca distração para quem precisar.</w:t>
      </w: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8. Avaliação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Diagnóstica</w:t>
            </w:r>
          </w:p>
        </w:tc>
        <w:tc>
          <w:tcPr>
            <w:tcW w:type="dxa" w:w="7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Perguntas de abertura e levantamento de conhecimentos prévios (Aula 1).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Formativa</w:t>
            </w:r>
          </w:p>
        </w:tc>
        <w:tc>
          <w:tcPr>
            <w:tcW w:type="dxa" w:w="7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Observação das duplas, ficha de observação, roda de conversa e justificativas verbais das decisões. As medalhas do jogo são uma evidência complementar, não uma nota.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De fechamento</w:t>
            </w:r>
          </w:p>
        </w:tc>
        <w:tc>
          <w:tcPr>
            <w:tcW w:type="dxa" w:w="7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Bilhete de saída, Cartão de Emergência e, se possível, o mapa de riscos do bairro.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Rubrica de aprendizagem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546"/>
        <w:gridCol w:w="2546"/>
        <w:gridCol w:w="2546"/>
      </w:tblGrid>
      <w:tr>
        <w:trPr>
          <w:cantSplit/>
          <w:tblHeader/>
        </w:trPr>
        <w:tc>
          <w:tcPr>
            <w:tcW w:type="dxa" w:w="2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254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 construção</w:t>
            </w:r>
          </w:p>
        </w:tc>
        <w:tc>
          <w:tcPr>
            <w:tcW w:type="dxa" w:w="254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Alcançado</w:t>
            </w:r>
          </w:p>
        </w:tc>
        <w:tc>
          <w:tcPr>
            <w:tcW w:type="dxa" w:w="254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Avançado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Conceitos</w:t>
            </w:r>
          </w:p>
        </w:tc>
        <w:tc>
          <w:tcPr>
            <w:tcW w:type="dxa" w:w="254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Confunde os fenômenos.</w:t>
            </w:r>
          </w:p>
        </w:tc>
        <w:tc>
          <w:tcPr>
            <w:tcW w:type="dxa" w:w="254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Diferencia os quatro fenômenos.</w:t>
            </w:r>
          </w:p>
        </w:tc>
        <w:tc>
          <w:tcPr>
            <w:tcW w:type="dxa" w:w="254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Explica causas e dá exemplos do bairro.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Protocolo</w:t>
            </w:r>
          </w:p>
        </w:tc>
        <w:tc>
          <w:tcPr>
            <w:tcW w:type="dxa" w:w="254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Lembra parte da sequência.</w:t>
            </w:r>
          </w:p>
        </w:tc>
        <w:tc>
          <w:tcPr>
            <w:tcW w:type="dxa" w:w="254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Aplica proteja-se, avise, aja.</w:t>
            </w:r>
          </w:p>
        </w:tc>
        <w:tc>
          <w:tcPr>
            <w:tcW w:type="dxa" w:w="254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Justifica cada passo e a ordem.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Decisões no jogo</w:t>
            </w:r>
          </w:p>
        </w:tc>
        <w:tc>
          <w:tcPr>
            <w:tcW w:type="dxa" w:w="254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Erra sem perceber por quê.</w:t>
            </w:r>
          </w:p>
        </w:tc>
        <w:tc>
          <w:tcPr>
            <w:tcW w:type="dxa" w:w="254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Explica decisões que ajudaram ou atrapalharam.</w:t>
            </w:r>
          </w:p>
        </w:tc>
        <w:tc>
          <w:tcPr>
            <w:tcW w:type="dxa" w:w="254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Propõe como agiria na vida real.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Participação</w:t>
            </w:r>
          </w:p>
        </w:tc>
        <w:tc>
          <w:tcPr>
            <w:tcW w:type="dxa" w:w="254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Participa quando solicitado.</w:t>
            </w:r>
          </w:p>
        </w:tc>
        <w:tc>
          <w:tcPr>
            <w:tcW w:type="dxa" w:w="254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Colabora com a dupla.</w:t>
            </w:r>
          </w:p>
        </w:tc>
        <w:tc>
          <w:tcPr>
            <w:tcW w:type="dxa" w:w="2546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Ajuda outros grupos e conduz a discussão.</w:t>
            </w:r>
          </w:p>
        </w:tc>
      </w:tr>
    </w:tbl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9. Inclusão e adaptações</w:t>
      </w:r>
    </w:p>
    <w:p>
      <w:pPr>
        <w:pStyle w:val="ListParagraph"/>
        <w:keepLines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Estudantes autistas: use agenda visual, avise antes de cada mudança de momento, ofereça o modo calmo (sem relógio e sem efeitos), deixe observar antes de jogar e combine um sinal para pausa. Veja o Guia de inclusão.</w:t>
      </w:r>
    </w:p>
    <w:p>
      <w:pPr>
        <w:pStyle w:val="ListParagraph"/>
        <w:keepLines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Altas habilidades ou superdotação: ofereça trilhas de enriquecimento (método racional, mapas com curvas de nível, projeto de diagnóstico do entorno, criação de fase e de quiz). Veja o Guia de inclusão.</w:t>
      </w:r>
    </w:p>
    <w:p>
      <w:pPr>
        <w:pStyle w:val="ListParagraph"/>
        <w:keepLines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Outras necessidades: converse com a família e com o atendimento educacional especializado (AEE) e ajuste papéis, tempo e formato de resposta.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Consulte o </w:t>
      </w:r>
      <w:r>
        <w:rPr>
          <w:rFonts w:ascii="Calibri" w:cs="Calibri" w:eastAsia="Calibri" w:hAnsi="Calibri"/>
          <w:color w:val="14213D"/>
          <w:sz w:val="21"/>
          <w:szCs w:val="21"/>
        </w:rPr>
        <w:t xml:space="preserve">Guia de inclusão</w:t>
      </w:r>
      <w:r>
        <w:rPr>
          <w:rFonts w:ascii="Calibri" w:cs="Calibri" w:eastAsia="Calibri" w:hAnsi="Calibri"/>
          <w:color w:val="14213D"/>
          <w:sz w:val="21"/>
          <w:szCs w:val="21"/>
        </w:rPr>
        <w:t xml:space="preserve"> (estudantes autistas e com altas habilidades ou superdotação), que acompanha este plano.</w:t>
      </w: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10. Extensão</w:t>
      </w:r>
    </w:p>
    <w:p>
      <w:pPr>
        <w:pStyle w:val="ListParagraph"/>
        <w:keepLines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Cartão de Emergência da Família (em casa, com a família).</w:t>
      </w:r>
    </w:p>
    <w:p>
      <w:pPr>
        <w:pStyle w:val="ListParagraph"/>
        <w:keepLines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Mapa de riscos do bairro ou da escola.</w:t>
      </w:r>
    </w:p>
    <w:p>
      <w:pPr>
        <w:pStyle w:val="ListParagraph"/>
        <w:keepLines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Campanha de comunicação de risco (cartaz, podcast ou vídeo curto).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As descrições completas estão no </w:t>
      </w:r>
      <w:r>
        <w:rPr>
          <w:rFonts w:ascii="Calibri" w:cs="Calibri" w:eastAsia="Calibri" w:hAnsi="Calibri"/>
          <w:color w:val="14213D"/>
          <w:sz w:val="21"/>
          <w:szCs w:val="21"/>
        </w:rPr>
        <w:t xml:space="preserve">Caderno de atividades</w:t>
      </w:r>
      <w:r>
        <w:rPr>
          <w:rFonts w:ascii="Calibri" w:cs="Calibri" w:eastAsia="Calibri" w:hAnsi="Calibri"/>
          <w:color w:val="14213D"/>
          <w:sz w:val="21"/>
          <w:szCs w:val="21"/>
        </w:rPr>
        <w:t xml:space="preserve">.</w:t>
      </w: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11. Cuidados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5C451" w:sz="24"/>
              <w:bottom w:val="none" w:color="FFFFFF" w:sz="0"/>
              <w:right w:val="none" w:color="FFFFFF" w:sz="0"/>
            </w:tcBorders>
            <w:shd w:fill="EAF4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2"/>
                <w:szCs w:val="22"/>
              </w:rPr>
              <w:t xml:space="preserve">Antes de aplicar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O jogo não substitui simulados nem treinamentos da Defesa Civil. Sempre que possível, convide um agente local.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Confirme os telefones e serviços de alerta do município (199 Defesa Civil, 193 Bombeiros, 192 SAMU e 190 Polícia são nacionais).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Nunca ligue de verdade para 199, 193 ou 192 para treinar: use dramatização com cartões-roteiro.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Fique atento às emoções: alguns estudantes podem ter vivido enchentes ou perdas. Combine que ninguém é obrigado a contar.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Nos experimentos, supervisione o uso de água e areia e mantenha o piso seco.</w:t>
            </w:r>
          </w:p>
        </w:tc>
      </w:tr>
    </w:tbl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12. Referências</w:t>
      </w:r>
    </w:p>
    <w:p>
      <w:pPr>
        <w:spacing w:after="90" w:before="0" w:line="276"/>
        <w:ind w:left="340" w:hanging="34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BRASIL. Ministério da Educação. Base Nacional Comum Curricular. Brasília: MEC, 2018.</w:t>
      </w:r>
    </w:p>
    <w:p>
      <w:pPr>
        <w:spacing w:after="90" w:before="0" w:line="276"/>
        <w:ind w:left="340" w:hanging="34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BRASIL. Lei nº 12.608, de 10 de abril de 2012. Institui a Política Nacional de Proteção e Defesa Civil (PNPDEC). Art. 29 (altera a Lei nº 9.394/1996).</w:t>
      </w:r>
    </w:p>
    <w:p>
      <w:pPr>
        <w:spacing w:after="90" w:before="0" w:line="276"/>
        <w:ind w:left="340" w:hanging="34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BRASIL. Lei nº 9.394, de 20 de dezembro de 1996 (LDB), art. 26.</w:t>
      </w:r>
    </w:p>
    <w:p>
      <w:pPr>
        <w:spacing w:after="90" w:before="0" w:line="276"/>
        <w:ind w:left="340" w:hanging="34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UNISDR. Marco de Sendai para a Redução do Risco de Desastres 2015-2030. Genebra: Escritório das Nações Unidas para a Redução do Risco de Desastres, 2015.</w:t>
      </w:r>
    </w:p>
    <w:p>
      <w:pPr>
        <w:spacing w:after="90" w:before="0" w:line="276"/>
        <w:ind w:left="340" w:hanging="34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SOUSA, A. I. P. HIDRO: Redução de Riscos. Jogo educativo digital. Versão 3.8. Dourados: UFGD, 2026. Disponível em: https://aigeogames.itch.io/hidro-educacao-reducao-riscos-ufgd.</w:t>
      </w:r>
    </w:p>
    <w:p>
      <w:pPr>
        <w:spacing w:after="90" w:before="0" w:line="276"/>
        <w:ind w:left="340" w:hanging="34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SOUZA, L. A.; MOURA, R. B. (org.). Mapeamento de Riscos: conceitos e métodos aplicados a processos geológicos e hidrológicos. Brasília: Ministério das Cidades, 2026.</w:t>
      </w:r>
    </w:p>
    <w:p>
      <w:pPr>
        <w:spacing w:after="90" w:before="0" w:line="276"/>
        <w:ind w:left="340" w:hanging="34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SERVIÇO GEOLÓGICO DO BRASIL (CPRM). Manual Técnico para Elaboração de Mapas de Perigo e Risco. Brasília: CPRM, 2019.</w:t>
      </w:r>
    </w:p>
    <w:p>
      <w:pPr>
        <w:spacing w:after="120"/>
      </w:pPr>
    </w:p>
    <w:p>
      <w:pPr>
        <w:spacing w:after="120" w:before="0" w:line="276"/>
      </w:pPr>
      <w:r>
        <w:rPr>
          <w:rFonts w:ascii="Calibri" w:cs="Calibri" w:eastAsia="Calibri" w:hAnsi="Calibri"/>
          <w:color w:val="4A5A73"/>
          <w:sz w:val="18"/>
          <w:szCs w:val="18"/>
        </w:rPr>
        <w:t xml:space="preserve">Material do projeto HIDRO: Redução de Riscos. Autoria: Antonio Idêrlian Pereira de Sousa. Contato: antonioiderlian@outlook.com | antoniosousa@ufgd.edu.br. Currículo Lattes: http://lattes.cnpq.br/8679039748672255. Licenciamento em definição; use para fins educacionais, com crédito.</w:t>
      </w:r>
      <w:r>
        <w:rPr>
          <w:rFonts w:ascii="Calibri" w:hAnsi="Calibri"/>
          <w:color w:val="4A5A73"/>
          <w:sz w:val="18"/>
        </w:rPr>
        <w:t xml:space="preserve"> Programa de computador registrado no INPI sob o processo nº BR 51 2026 009207-8, titularidade da UFGD.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rFonts w:ascii="Calibri" w:cs="Calibri" w:eastAsia="Calibri" w:hAnsi="Calibri"/>
        <w:color w:val="4A5A73"/>
        <w:sz w:val="16"/>
        <w:szCs w:val="16"/>
      </w:rPr>
      <w:t xml:space="preserve">Antonio Idêrlian Pereira de Sousa   |   Página </w:t>
    </w:r>
    <w:r>
      <w:rPr>
        <w:rFonts w:ascii="Calibri" w:cs="Calibri" w:eastAsia="Calibri" w:hAnsi="Calibri"/>
        <w:color w:val="4A5A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4" w:sz="6" w:space="4"/>
      </w:pBdr>
      <w:spacing w:after="0"/>
    </w:pPr>
    <w:r>
      <w:rPr>
        <w:rFonts w:ascii="Calibri" w:cs="Calibri" w:eastAsia="Calibri" w:hAnsi="Calibri"/>
        <w:b/>
        <w:bCs/>
        <w:color w:val="1B78A8"/>
        <w:sz w:val="18"/>
        <w:szCs w:val="18"/>
      </w:rPr>
      <w:t xml:space="preserve">HIDRO: Redução de Riscos</w:t>
    </w:r>
    <w:r>
      <w:rPr>
        <w:rFonts w:ascii="Calibri" w:cs="Calibri" w:eastAsia="Calibri" w:hAnsi="Calibri"/>
        <w:color w:val="4A5A73"/>
        <w:sz w:val="18"/>
        <w:szCs w:val="18"/>
      </w:rPr>
      <w:t xml:space="preserve">   |   Plano de aula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21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4d9613b0cfa4d945ed10552a1853c4dcc773189.png"/><Relationship Id="rId10" Type="http://schemas.openxmlformats.org/officeDocument/2006/relationships/image" Target="media/6001948cdd996b3f3809a7ef5f21d90a49237e31.png"/><Relationship Id="rId11" Type="http://schemas.openxmlformats.org/officeDocument/2006/relationships/image" Target="media/687f719f89e99e954debf2c3cff16cfa9a217f04.png"/><Relationship Id="rId1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aula</dc:title>
  <dc:creator>Antonio Idêrlian Pereira de Sousa</dc:creator>
  <dc:description>Material do projeto HIDRO: Redução de Riscos</dc:description>
  <cp:lastModifiedBy>Un-named</cp:lastModifiedBy>
  <cp:revision>1</cp:revision>
  <dcterms:created xsi:type="dcterms:W3CDTF">2026-09-22T12:20:55.181Z</dcterms:created>
  <dcterms:modified xsi:type="dcterms:W3CDTF">2026-09-22T12:20:55.191Z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