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612895"/>
            <wp:docPr id="1" name="Picture 1" descr="Logo de la UN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6128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     Universidad Nacional del Altiplano     AzChat      </w:t>
      </w: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566928"/>
            <wp:docPr id="2" name="Picture 2" descr="Logo de AzCh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P8 Clases de diseño</w:t>
      </w:r>
    </w:p>
    <w:p>
      <w:pPr>
        <w:spacing w:after="240"/>
      </w:pPr>
      <w:r>
        <w:rPr>
          <w:i/>
          <w:sz w:val="20"/>
        </w:rPr>
        <w:t>Proyecto AzChat  |  Planificación técnica  |  Metodología Ágil</w:t>
      </w:r>
    </w:p>
    <w:p>
      <w:pPr>
        <w:pStyle w:val="Heading1"/>
      </w:pPr>
      <w:r>
        <w:t>Propósito y criterio de sencillez</w:t>
      </w:r>
    </w:p>
    <w:p>
      <w:r>
        <w:t>El diseño transforma los conceptos de P6 en cinco componentes pequeños. La web utiliza HTML, CSS y JavaScript; un único proceso Node.js atiende las peticiones y las conexiones en directo. PostgreSQL conserva los datos.</w:t>
      </w:r>
    </w:p>
    <w:p>
      <w:r>
        <w:t>Las clases del diagrama expresan responsabilidades. En la construcción pueden organizarse como módulos y funciones JavaScript, sin obligar a usar herencia ni una estructura de clases extensa.</w:t>
      </w:r>
    </w:p>
    <w:p>
      <w:pPr>
        <w:pStyle w:val="Heading1"/>
      </w:pPr>
      <w:r>
        <w:t>Diagrama de clases de diseño</w:t>
      </w:r>
    </w:p>
    <w:p>
      <w:r>
        <w:t>El modelo correspondiente se presenta en el anexo gráfico.</w:t>
      </w:r>
    </w:p>
    <w:p>
      <w:pPr>
        <w:pStyle w:val="Heading1"/>
      </w:pPr>
      <w:r>
        <w:t>Componentes y archivos previstos</w:t>
      </w:r>
    </w:p>
    <w:p>
      <w:pPr>
        <w:keepNext/>
        <w:spacing w:after="100"/>
      </w:pPr>
      <w:r>
        <w:rPr>
          <w:i/>
        </w:rPr>
        <w:t>Responsabilidades del diseño</w:t>
      </w:r>
    </w:p>
    <w:p>
      <w:pPr>
        <w:spacing w:after="100"/>
      </w:pPr>
      <w:r>
        <w:rPr>
          <w:b/>
        </w:rPr>
        <w:t xml:space="preserve">ClienteChat. </w:t>
      </w:r>
      <w:r>
        <w:t>source/publico/app.js. Controla registro, ingreso, búsqueda y lectura del chat. Conserva el intento pendiente y su identificador. Envía peticiones HTTPS y recibe actualizaciones de Socket.IO. Cada mensaje se inserta o actualiza por su identificador para no repetirlo.</w:t>
      </w:r>
    </w:p>
    <w:p>
      <w:pPr>
        <w:spacing w:after="100"/>
      </w:pPr>
      <w:r>
        <w:rPr>
          <w:b/>
        </w:rPr>
        <w:t xml:space="preserve">ServidorChat. </w:t>
      </w:r>
      <w:r>
        <w:t>source/servidor.js. Entrega la web, recibe las peticiones y comparte el acceso de sesión con Socket.IO. Llama a los servicios de acceso y chat y publica mensajes ya conservados a los participantes autorizados.</w:t>
      </w:r>
    </w:p>
    <w:p>
      <w:pPr>
        <w:spacing w:after="100"/>
      </w:pPr>
      <w:r>
        <w:rPr>
          <w:b/>
        </w:rPr>
        <w:t xml:space="preserve">ServicioAcceso. </w:t>
      </w:r>
      <w:r>
        <w:t>source/acceso.js. Valida el registro y los identificadores únicos, calcula y verifica el hash de contraseña y administra el acceso. Utiliza argon2, express-session y el almacenamiento de sesiones en PostgreSQL.</w:t>
      </w:r>
    </w:p>
    <w:p>
      <w:pPr>
        <w:spacing w:after="100"/>
      </w:pPr>
      <w:r>
        <w:rPr>
          <w:b/>
        </w:rPr>
        <w:t xml:space="preserve">ServicioChat. </w:t>
      </w:r>
      <w:r>
        <w:t>source/chat.js. Busca usuarios exactos, abre el único chat de cada pareja y consulta sus mensajes. Comprueba la participación antes de leer o guardar. Reconoce los reintentos y devuelve el mismo mensaje si ya fue conservado.</w:t>
      </w:r>
    </w:p>
    <w:p>
      <w:pPr>
        <w:spacing w:after="100"/>
      </w:pPr>
      <w:r>
        <w:rPr>
          <w:b/>
        </w:rPr>
        <w:t xml:space="preserve">AccesoDatos. </w:t>
      </w:r>
      <w:r>
        <w:t>source/datos.js. Mantiene un grupo pequeño de conexiones PostgreSQL y ejecuta consultas con parámetros y transacciones. Se comparte con el almacenamiento de sesiones. El navegador no utiliza este componente ni recibe su contraseña de conexión.</w:t>
      </w:r>
    </w:p>
    <w:p>
      <w:r>
        <w:t>Las rutas anteriores son una organización prevista para la construcción. El alcance de estos documentos corresponde al diseño; no presenta esos módulos como implementados.</w:t>
      </w:r>
    </w:p>
    <w:p>
      <w:pPr>
        <w:pStyle w:val="Heading1"/>
      </w:pPr>
      <w:r>
        <w:t>Datos que intercambian los componentes</w:t>
      </w:r>
    </w:p>
    <w:p>
      <w:pPr>
        <w:keepNext/>
        <w:spacing w:after="100"/>
      </w:pPr>
      <w:r>
        <w:rPr>
          <w:i/>
        </w:rPr>
        <w:t>Estructuras del diseño</w:t>
      </w:r>
    </w:p>
    <w:p>
      <w:pPr>
        <w:spacing w:after="100"/>
      </w:pPr>
      <w:r>
        <w:rPr>
          <w:b/>
        </w:rPr>
        <w:t xml:space="preserve">Estudiante. </w:t>
      </w:r>
      <w:r>
        <w:t>id, nombreCompleto, codigoEstudiante, nombreUsuario y hashContrasena. Es información del servidor. Las respuestas de búsqueda entregan solo un identificador técnico y el nombre de usuario.</w:t>
      </w:r>
    </w:p>
    <w:p>
      <w:pPr>
        <w:spacing w:after="100"/>
      </w:pPr>
      <w:r>
        <w:rPr>
          <w:b/>
        </w:rPr>
        <w:t xml:space="preserve">ConversacionPrivada. </w:t>
      </w:r>
      <w:r>
        <w:t>id, los identificadores de sus dos estudiantes y fechaCreacion. La pareja se ordena siempre de la misma forma para reconocer que A–B y B–A son el mismo chat.</w:t>
      </w:r>
    </w:p>
    <w:p>
      <w:pPr>
        <w:spacing w:after="100"/>
      </w:pPr>
      <w:r>
        <w:rPr>
          <w:b/>
        </w:rPr>
        <w:t xml:space="preserve">Mensaje. </w:t>
      </w:r>
      <w:r>
        <w:t>id secuencial asignado por la base, conversacionId, emisorId, idEnvio, texto y fechaHora. El servidor decide el emisor y la fecha. idEnvio identifica el intento del navegador y se conserva al reintentar.</w:t>
      </w:r>
    </w:p>
    <w:p>
      <w:pPr>
        <w:spacing w:after="100"/>
      </w:pPr>
      <w:r>
        <w:rPr>
          <w:b/>
        </w:rPr>
        <w:t xml:space="preserve">Sesión técnica. </w:t>
      </w:r>
      <w:r>
        <w:t>La biblioteca de sesiones conserva el identificador del estudiante y una fecha de vencimiento absoluta de 8 horas desde el ingreso. No añade otro actor ni otra entidad del dominio de P6. Su registro técnico se concreta en P11.</w:t>
      </w:r>
    </w:p>
    <w:p>
      <w:r>
        <w:t>El esquema de tablas, sus tipos SQL y sus relaciones se detallan en P11. Los identificadores ordenan la lectura, pero no garantizan el orden de confirmación de transacciones concurrentes. La recuperación y la ausencia de omisiones y duplicados se comprobarán durante la construcción.</w:t>
      </w:r>
    </w:p>
    <w:p>
      <w:pPr>
        <w:pStyle w:val="Heading1"/>
      </w:pPr>
      <w:r>
        <w:t>Interfaz mínima del servidor</w:t>
      </w:r>
    </w:p>
    <w:p>
      <w:pPr>
        <w:keepNext/>
        <w:spacing w:after="100"/>
      </w:pPr>
      <w:r>
        <w:rPr>
          <w:i/>
        </w:rPr>
        <w:t>Peticiones y actualizaciones</w:t>
      </w:r>
    </w:p>
    <w:p>
      <w:pPr>
        <w:spacing w:after="100"/>
      </w:pPr>
      <w:r>
        <w:rPr>
          <w:b/>
        </w:rPr>
        <w:t xml:space="preserve">Registro y acceso. </w:t>
      </w:r>
      <w:r>
        <w:t>POST /api/registro crea la cuenta. POST /api/sesion verifica usuario o código y contraseña. GET /api/sesion consulta el acceso actual. DELETE /api/sesion lo termina.</w:t>
      </w:r>
    </w:p>
    <w:p>
      <w:pPr>
        <w:spacing w:after="100"/>
      </w:pPr>
      <w:r>
        <w:rPr>
          <w:b/>
        </w:rPr>
        <w:t xml:space="preserve">Búsqueda. </w:t>
      </w:r>
      <w:r>
        <w:t>GET /api/usuarios?nombre=... busca el usuario completo, normalizado a minúsculas. Requiere sesión y devuelve solo la identidad visible necesaria para iniciar el chat.</w:t>
      </w:r>
    </w:p>
    <w:p>
      <w:pPr>
        <w:spacing w:after="100"/>
      </w:pPr>
      <w:r>
        <w:rPr>
          <w:b/>
        </w:rPr>
        <w:t xml:space="preserve">Conversaciones. </w:t>
      </w:r>
      <w:r>
        <w:t>GET /api/conversaciones lista los chats propios. POST /api/conversaciones recibe el destinatario y devuelve el chat existente o crea el de esa pareja.</w:t>
      </w:r>
    </w:p>
    <w:p>
      <w:pPr>
        <w:spacing w:after="100"/>
      </w:pPr>
      <w:r>
        <w:rPr>
          <w:b/>
        </w:rPr>
        <w:t xml:space="preserve">Historial. </w:t>
      </w:r>
      <w:r>
        <w:t>GET /api/conversaciones/:id/mensajes obtiene los últimos 50 mensajes. Un cursor basado en el identificador permite solicitar los anteriores. La paginación limita cada consulta, no la conservación del historial.</w:t>
      </w:r>
    </w:p>
    <w:p>
      <w:pPr>
        <w:spacing w:after="100"/>
      </w:pPr>
      <w:r>
        <w:rPr>
          <w:b/>
        </w:rPr>
        <w:t xml:space="preserve">Envío. </w:t>
      </w:r>
      <w:r>
        <w:t>POST /api/conversaciones/:id/mensajes recibe idEnvio y texto. El servidor comprueba la sesión y el chat. Un envío nuevo devuelve el mensaje guardado; un reintento válido devuelve el mismo registro. Reutilizar el intento con otro texto o chat se rechaza como conflicto.</w:t>
      </w:r>
    </w:p>
    <w:p>
      <w:pPr>
        <w:spacing w:after="100"/>
      </w:pPr>
      <w:r>
        <w:rPr>
          <w:b/>
        </w:rPr>
        <w:t xml:space="preserve">Actualización en directo. </w:t>
      </w:r>
      <w:r>
        <w:t>Socket.IO emite mensaje:nuevo con datos de un mensaje ya guardado. El servidor asigna las conexiones a canales internos de usuario y sesión; el navegador no elige canales de otras cuentas. Al reconectar se vuelve a verificar el acceso y se consulta el historial.</w:t>
      </w:r>
    </w:p>
    <w:p>
      <w:pPr>
        <w:pStyle w:val="Heading1"/>
      </w:pPr>
      <w:r>
        <w:t>Reglas del acceso y los envíos</w:t>
      </w:r>
    </w:p>
    <w:p>
      <w:pPr>
        <w:pStyle w:val="ListBullet"/>
      </w:pPr>
      <w:r>
        <w:t>La contraseña se protege con Argon2id mediante una biblioteca de hash; no se implementa un algoritmo propio ni se entrega el hash al navegador.</w:t>
      </w:r>
    </w:p>
    <w:p>
      <w:pPr>
        <w:pStyle w:val="ListBullet"/>
      </w:pPr>
      <w:r>
        <w:t>La sesión vence a las 8 horas desde el ingreso, sin ampliar ese plazo por actividad. Antes de acceder al chat se comprueba también ese vencimiento.</w:t>
      </w:r>
    </w:p>
    <w:p>
      <w:pPr>
        <w:pStyle w:val="ListBullet"/>
      </w:pPr>
      <w:r>
        <w:t>La cookie contiene únicamente un identificador de sesión firmado. En la nube se configura con HttpOnly, Secure y SameSite=Lax.</w:t>
      </w:r>
    </w:p>
    <w:p>
      <w:pPr>
        <w:pStyle w:val="ListBullet"/>
      </w:pPr>
      <w:r>
        <w:t>El identificador de sesión se renueva al ingresar. Al salir se invalida su registro, se elimina la cookie y se desconectan las actualizaciones de esa sesión. Al vencer también se cierra su canal en directo.</w:t>
      </w:r>
    </w:p>
    <w:p>
      <w:pPr>
        <w:pStyle w:val="ListBullet"/>
      </w:pPr>
      <w:r>
        <w:t>El servicio toma el emisor de la sesión y valida pertenencia, contenido e identidad del intento antes de guardar.</w:t>
      </w:r>
    </w:p>
    <w:p>
      <w:pPr>
        <w:pStyle w:val="ListBullet"/>
      </w:pPr>
      <w:r>
        <w:t>El intento utiliza un UUID generado por el navegador y se reutiliza únicamente para el mismo texto y chat. La base impide dos registros con la misma pareja emisor–intento.</w:t>
      </w:r>
    </w:p>
    <w:p>
      <w:pPr>
        <w:pStyle w:val="ListBullet"/>
      </w:pPr>
      <w:r>
        <w:t>La confirmación y la notificación se producen después de guardar. Una respuesta o evento repetido actualiza el mensaje existente en la interfaz.</w:t>
      </w:r>
    </w:p>
    <w:p>
      <w:pPr>
        <w:pStyle w:val="ListBullet"/>
      </w:pPr>
      <w:r>
        <w:t>Los mensajes se envían por HTTPS, sin cola automática fuera de línea. La reconexión de Socket.IO recupera el canal y consulta el historial; no reintenta los envíos fallidos.</w:t>
      </w:r>
    </w:p>
    <w:p>
      <w:pPr>
        <w:pStyle w:val="Heading1"/>
      </w:pPr>
      <w:r>
        <w:t>Referencias técnicas</w:t>
      </w:r>
    </w:p>
    <w:p>
      <w:pPr>
        <w:pStyle w:val="ListBullet"/>
      </w:pPr>
      <w:r>
        <w:t>Sesiones de Express y almacenamiento de sesiones en PostgreSQL.</w:t>
      </w:r>
      <w:r>
        <w:t xml:space="preserve">  (</w:t>
      </w:r>
      <w:hyperlink r:id="rId12">
        <w:r>
          <w:rPr>
            <w:color w:val="194F7B"/>
            <w:u w:val="single"/>
          </w:rPr>
          <w:t>fuente 1</w:t>
        </w:r>
      </w:hyperlink>
      <w:r>
        <w:t xml:space="preserve">, </w:t>
      </w:r>
      <w:hyperlink r:id="rId13">
        <w:r>
          <w:rPr>
            <w:color w:val="194F7B"/>
            <w:u w:val="single"/>
          </w:rPr>
          <w:t>fuente 2</w:t>
        </w:r>
      </w:hyperlink>
      <w:r>
        <w:t>)</w:t>
      </w:r>
    </w:p>
    <w:p>
      <w:pPr>
        <w:pStyle w:val="ListBullet"/>
      </w:pPr>
      <w:r>
        <w:t>Biblioteca Argon2 para Node.js.</w:t>
      </w:r>
      <w:r>
        <w:t xml:space="preserve">  (</w:t>
      </w:r>
      <w:hyperlink r:id="rId14">
        <w:r>
          <w:rPr>
            <w:color w:val="194F7B"/>
            <w:u w:val="single"/>
          </w:rPr>
          <w:t>fuente</w:t>
        </w:r>
      </w:hyperlink>
      <w:r>
        <w:t>)</w:t>
      </w:r>
    </w:p>
    <w:p>
      <w:pPr>
        <w:pStyle w:val="ListBullet"/>
      </w:pPr>
      <w:r>
        <w:t>Middleware de Socket.IO y comportamiento fuera de línea.</w:t>
      </w:r>
      <w:r>
        <w:t xml:space="preserve">  (</w:t>
      </w:r>
      <w:hyperlink r:id="rId15">
        <w:r>
          <w:rPr>
            <w:color w:val="194F7B"/>
            <w:u w:val="single"/>
          </w:rPr>
          <w:t>fuente 1</w:t>
        </w:r>
      </w:hyperlink>
      <w:r>
        <w:t xml:space="preserve">, </w:t>
      </w:r>
      <w:hyperlink r:id="rId16">
        <w:r>
          <w:rPr>
            <w:color w:val="194F7B"/>
            <w:u w:val="single"/>
          </w:rPr>
          <w:t>fuente 2</w:t>
        </w:r>
      </w:hyperlink>
      <w:r>
        <w:t>)</w:t>
      </w:r>
    </w:p>
    <w:p>
      <w:pPr>
        <w:pStyle w:val="Heading1"/>
      </w:pPr>
      <w:r>
        <w:t>Consideraciones técnicas complementarias</w:t>
      </w:r>
    </w:p>
    <w:p>
      <w:pPr>
        <w:spacing w:after="100"/>
      </w:pPr>
      <w:r>
        <w:rPr>
          <w:b/>
        </w:rPr>
        <w:t xml:space="preserve">Contrato entre capas. </w:t>
      </w:r>
      <w:r>
        <w:t>El servidor recibe el texto y el identificador del intento; obtiene la identidad del emisor desde la sesión. Las consultas utilizan parámetros y devuelven únicamente los campos necesarios para la interfaz.</w:t>
      </w:r>
    </w:p>
    <w:p>
      <w:pPr>
        <w:spacing w:after="100"/>
      </w:pPr>
      <w:r>
        <w:rPr>
          <w:b/>
        </w:rPr>
        <w:t xml:space="preserve">Errores y reintentos. </w:t>
      </w:r>
      <w:r>
        <w:t>El mismo intento con el mismo texto y conversación devuelve el registro conservado; si cambia la carga se informa un conflicto. No se programa un reenvío automático al recuperar conexión.</w:t>
      </w:r>
    </w:p>
    <w:p>
      <w:pPr>
        <w:spacing w:after="100"/>
      </w:pPr>
      <w:r>
        <w:rPr>
          <w:b/>
        </w:rPr>
        <w:t xml:space="preserve">Orden y concurrencia. </w:t>
      </w:r>
      <w:r>
        <w:t>La secuencia de identificadores ordena la lectura, pero no garantiza el orden de confirmación de transacciones simultáneas. La recuperación sin omisiones se comprobará durante la construcción.</w:t>
      </w:r>
    </w:p>
    <w:p>
      <w:pPr>
        <w:pStyle w:val="Heading1"/>
      </w:pPr>
      <w:r>
        <w:t>Equipo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20" w:type="dxa"/>
          <w:right w:w="120" w:type="dxa"/>
        </w:tblCellMar>
      </w:tblPr>
      <w:tblGrid>
        <w:gridCol w:w="3816"/>
        <w:gridCol w:w="1008"/>
        <w:gridCol w:w="3816"/>
        <w:gridCol w:w="1008"/>
      </w:tblGrid>
      <w:tr>
        <w:trPr>
          <w:tblHeader w:val="true"/>
        </w:trPr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Apaza Quispe Antonio Vicente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236876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Arias Ramirez Alex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236104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Chura Chambilla Raul Cristian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236567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Escobedo Arapa Kenyi Blanca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236171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Mamani Pari Yimmy Jonathan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237317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Quispe Ramos Daniel Jhosimar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236568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Roque Mamani Vidman Ruis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236232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Vidal Fuentes Jordy Anthony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236535</w:t>
            </w:r>
          </w:p>
        </w:tc>
      </w:tr>
    </w:tbl>
    <w:p>
      <w:pPr>
        <w:pStyle w:val="Heading1"/>
        <w:pageBreakBefore/>
      </w:pPr>
      <w:r>
        <w:t>Anexo gráfico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35600" cy="7315200"/>
            <wp:docPr id="3" name="Picture 3" descr="Cinco componentes: ClienteChat utiliza ServidorChat; este utiliza ServicioAcceso y ServicioChat, que comparten AccesoDa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Clases_de_diseno__Clases_diseno_AzCh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Las flechas discontinuas indican dependencias de uso. Los datos Estudiante, ConversacionPrivada y Mensaje se describen por separado para mantener legible el diagrama.</w:t>
      </w:r>
    </w:p>
    <w:sectPr w:rsidR="00FC693F" w:rsidRPr="0006063C" w:rsidSect="00034616">
      <w:footerReference w:type="default" r:id="rId11"/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AzChat · Planificación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yperlink" Target="https://expressjs.com/en/resources/middleware/session/" TargetMode="External"/><Relationship Id="rId13" Type="http://schemas.openxmlformats.org/officeDocument/2006/relationships/hyperlink" Target="https://github.com/voxpelli/node-connect-pg-simple" TargetMode="External"/><Relationship Id="rId14" Type="http://schemas.openxmlformats.org/officeDocument/2006/relationships/hyperlink" Target="https://github.com/ranisalt/node-argon2" TargetMode="External"/><Relationship Id="rId15" Type="http://schemas.openxmlformats.org/officeDocument/2006/relationships/hyperlink" Target="https://socket.io/docs/v4/middlewares/" TargetMode="External"/><Relationship Id="rId16" Type="http://schemas.openxmlformats.org/officeDocument/2006/relationships/hyperlink" Target="https://socket.io/docs/v4/client-offline-behavior/" TargetMode="External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P8 Clases de diseño</dc:title>
  <dc:subject>Planificación técnica de la aplicación web AzChat</dc:subject>
  <dc:creator>Equipo del proyecto AzChat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