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612895"/>
            <wp:docPr id="1" name="Picture 1" descr="Logo de la UN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6128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18"/>
        </w:rPr>
        <w:t xml:space="preserve">      Universidad Nacional del Altiplano     AzChat      </w:t>
      </w: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566928"/>
            <wp:docPr id="2" name="Picture 2" descr="Logo de AzCh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zch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P10 Diseño de interfaz</w:t>
      </w:r>
    </w:p>
    <w:p>
      <w:pPr>
        <w:spacing w:after="240"/>
      </w:pPr>
      <w:r>
        <w:rPr>
          <w:i/>
          <w:sz w:val="20"/>
        </w:rPr>
        <w:t>Proyecto AzChat  |  Planificación técnica  |  Metodología Ágil</w:t>
      </w:r>
    </w:p>
    <w:p>
      <w:pPr>
        <w:pStyle w:val="Heading1"/>
      </w:pPr>
      <w:r>
        <w:t>Objetivo del diseño</w:t>
      </w:r>
    </w:p>
    <w:p>
      <w:r>
        <w:t>AzChat presenta una interfaz sencilla para registrarse, ingresar y conversar en privado. Este documento desarrolla el diseño en tres niveles de detalle a partir de una referencia visual de tonos grafito y azul. Las etapas permiten entender cómo se pasa de la estructura al contenido final.</w:t>
      </w:r>
    </w:p>
    <w:p>
      <w:r>
        <w:t>Los paneles son rectangulares y están unidos por divisiones finas. La lista de conversaciones queda a la izquierda y el chat a la derecha. Los controles tienen texto directo y los mensajes propios se distinguen por el color azul y su alineación a la derecha.</w:t>
      </w:r>
    </w:p>
    <w:p>
      <w:pPr>
        <w:pStyle w:val="Heading1"/>
      </w:pPr>
      <w:r>
        <w:t>1 Estructura en blanco y negro</w:t>
      </w:r>
    </w:p>
    <w:p>
      <w:r>
        <w:t>El primer boceto utiliza únicamente cuadros y líneas. Define el espacio de la búsqueda, la lista, el encabezado, el historial y la escritura, sin incorporar colores ni conversaciones.</w:t>
      </w:r>
    </w:p>
    <w:p>
      <w:pPr>
        <w:pStyle w:val="Heading1"/>
      </w:pPr>
      <w:r>
        <w:t>2 Aplicación del color</w:t>
      </w:r>
    </w:p>
    <w:p>
      <w:r>
        <w:t>Se conserva la misma distribución. El grafito organiza las superficies y el azul identifica la conversación seleccionada, los mensajes propios y la acción de enviar. Los cuadros todavía representan contenido pendiente.</w:t>
      </w:r>
    </w:p>
    <w:p>
      <w:pPr>
        <w:pStyle w:val="Heading1"/>
      </w:pPr>
      <w:r>
        <w:t>3 Conversaciones y contenido</w:t>
      </w:r>
    </w:p>
    <w:p>
      <w:r>
        <w:t>El último boceto incorpora nombres de usuario, mensajes, horas y etiquetas. Los alias alumno_01, alex_01, raul_01 y daniel_01 son datos ficticios para mostrar la interfaz; no representan cuentas registradas. Las conversaciones y cada mensaje muestran el nombre de usuario.</w:t>
      </w:r>
    </w:p>
    <w:p>
      <w:pPr>
        <w:pStyle w:val="Heading1"/>
      </w:pPr>
      <w:r>
        <w:t>Ingreso y registro</w:t>
      </w:r>
    </w:p>
    <w:p>
      <w:r>
        <w:t>El ingreso solicita usuario o código de estudiante y contraseña. El registro solicita nombre completo, código, usuario y contraseña. Cada campo conserva una etiqueta visible y los errores indican qué debe corregirse. La recuperación de contraseña queda fuera de la primera versión.</w:t>
      </w:r>
    </w:p>
    <w:p>
      <w:pPr>
        <w:pStyle w:val="Heading1"/>
      </w:pPr>
      <w:r>
        <w:t>Adaptación al celular</w:t>
      </w:r>
    </w:p>
    <w:p>
      <w:r>
        <w:t>En pantallas de hasta 700 píxeles se muestra una vista a la vez. Al elegir una conversación se abre el chat; el botón Volver permite regresar a la lista. El borrador se mantiene al cambiar de conversación durante la vista de ejemplo.</w:t>
      </w:r>
    </w:p>
    <w:p>
      <w:pPr>
        <w:pStyle w:val="Heading1"/>
      </w:pPr>
      <w:r>
        <w:t>Comportamiento de los controles</w:t>
      </w:r>
    </w:p>
    <w:p>
      <w:pPr>
        <w:keepNext/>
        <w:spacing w:after="100"/>
      </w:pPr>
      <w:r>
        <w:rPr>
          <w:i/>
        </w:rPr>
        <w:t>Acciones y respuesta esperada</w:t>
      </w:r>
    </w:p>
    <w:p>
      <w:pPr>
        <w:spacing w:after="100"/>
      </w:pPr>
      <w:r>
        <w:rPr>
          <w:b/>
        </w:rPr>
        <w:t xml:space="preserve">Buscar destinatario. </w:t>
      </w:r>
      <w:r>
        <w:t>Nombre de usuario exacto, sin distinguir mayúsculas. Si ya existe una conversación con esa persona se abre la misma.</w:t>
      </w:r>
    </w:p>
    <w:p>
      <w:pPr>
        <w:spacing w:after="100"/>
      </w:pPr>
      <w:r>
        <w:rPr>
          <w:b/>
        </w:rPr>
        <w:t xml:space="preserve">Escribir. </w:t>
      </w:r>
      <w:r>
        <w:t>Enter envía; Shift + Enter agrega una nueva línea. También puede utilizarse el botón Enviar.</w:t>
      </w:r>
    </w:p>
    <w:p>
      <w:pPr>
        <w:spacing w:after="100"/>
      </w:pPr>
      <w:r>
        <w:rPr>
          <w:b/>
        </w:rPr>
        <w:t xml:space="preserve">Validar mensaje. </w:t>
      </w:r>
      <w:r>
        <w:t>Admite hasta 1000 caracteres. Un texto vacío o compuesto solo por espacios se rechaza y se conserva para corregirlo.</w:t>
      </w:r>
    </w:p>
    <w:p>
      <w:pPr>
        <w:spacing w:after="100"/>
      </w:pPr>
      <w:r>
        <w:rPr>
          <w:b/>
        </w:rPr>
        <w:t xml:space="preserve">Leer mensajes. </w:t>
      </w:r>
      <w:r>
        <w:t>Cada mensaje muestra usuario y hora. El historial permite desplazarse y solicitar mensajes anteriores.</w:t>
      </w:r>
    </w:p>
    <w:p>
      <w:pPr>
        <w:spacing w:after="100"/>
      </w:pPr>
      <w:r>
        <w:rPr>
          <w:b/>
        </w:rPr>
        <w:t xml:space="preserve">Envío fallido. </w:t>
      </w:r>
      <w:r>
        <w:t>El texto se conserva y se ofrece Reintentar. Recuperar la conexión no envía mensajes automáticamente.</w:t>
      </w:r>
    </w:p>
    <w:p>
      <w:pPr>
        <w:spacing w:after="100"/>
      </w:pPr>
      <w:r>
        <w:rPr>
          <w:b/>
        </w:rPr>
        <w:t xml:space="preserve">Cerrar sesión. </w:t>
      </w:r>
      <w:r>
        <w:t>Regresa al ingreso. En el sistema construido, la sesión finalizará también al cumplir 8 horas desde el acceso.</w:t>
      </w:r>
    </w:p>
    <w:p>
      <w:pPr>
        <w:pStyle w:val="Heading1"/>
      </w:pPr>
      <w:r>
        <w:t>Prototipo navegable</w:t>
      </w:r>
    </w:p>
    <w:p>
      <w:r>
        <w:t>El prototipo permite explorar las pantallas y sus controles. Utiliza datos ficticios en memoria: no crea cuentas, no verifica contraseñas reales ni conserva mensajes al recargar. El historial persistente, las sesiones y la comunicación entre personas se implementarán en el servidor descrito en P9.</w:t>
      </w:r>
    </w:p>
    <w:p>
      <w:r>
        <w:t>Para revisar el envío fallido, pulse Simular desconexión e intente enviar un texto. Después restablezca la conexión y pulse Reintentar. La búsqueda dispone de los alias de ejemplo y de kenyi_01 para abrir una conversación vacía.</w:t>
      </w:r>
    </w:p>
    <w:p>
      <w:pPr>
        <w:pStyle w:val="Heading1"/>
      </w:pPr>
      <w:r>
        <w:t>Bocetos editables y revisión</w:t>
      </w:r>
    </w:p>
    <w:p>
      <w:r>
        <w:t>La metodología Ágil permite revisar estos bocetos y ajustar la interfaz antes de construir el sistema. Esta entrega corresponde al diseño de P10. P11 define el modelo de datos y P12 organiza la construcción por incrementos.</w:t>
      </w:r>
    </w:p>
    <w:p>
      <w:pPr>
        <w:pStyle w:val="Heading1"/>
      </w:pPr>
      <w:r>
        <w:t>Consideraciones técnicas complementarias</w:t>
      </w:r>
    </w:p>
    <w:p>
      <w:pPr>
        <w:spacing w:after="100"/>
      </w:pPr>
      <w:r>
        <w:rPr>
          <w:b/>
        </w:rPr>
        <w:t xml:space="preserve">Estados de interacción. </w:t>
      </w:r>
      <w:r>
        <w:t>La interfaz distingue el formulario válido, las entradas erróneas, la conversación vacía, una desconexión y el envío pendiente. Los mensajes se presentan como texto y no como HTML ejecutable.</w:t>
      </w:r>
    </w:p>
    <w:p>
      <w:pPr>
        <w:spacing w:after="100"/>
      </w:pPr>
      <w:r>
        <w:rPr>
          <w:b/>
        </w:rPr>
        <w:t xml:space="preserve">Control con teclado. </w:t>
      </w:r>
      <w:r>
        <w:t>Enter envía y Shift + Enter inserta un salto de línea. En pantallas pequeñas la lista y el chat se presentan por separado, con un control para volver a las conversaciones.</w:t>
      </w:r>
    </w:p>
    <w:p>
      <w:pPr>
        <w:pStyle w:val="Heading1"/>
      </w:pPr>
      <w:r>
        <w:t>Equipo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20" w:type="dxa"/>
          <w:right w:w="120" w:type="dxa"/>
        </w:tblCellMar>
      </w:tblPr>
      <w:tblGrid>
        <w:gridCol w:w="3816"/>
        <w:gridCol w:w="1008"/>
        <w:gridCol w:w="3816"/>
        <w:gridCol w:w="1008"/>
      </w:tblGrid>
      <w:tr>
        <w:trPr>
          <w:tblHeader w:val="true"/>
        </w:trPr>
        <w:tc>
          <w:tcPr>
            <w:tcW w:type="dxa" w:w="3816"/>
            <w:vAlign w:val="center"/>
            <w:shd w:fill="254C68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816"/>
            <w:vAlign w:val="center"/>
            <w:shd w:fill="254C68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Código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/>
              <w:spacing w:after="0"/>
            </w:pPr>
            <w:r>
              <w:rPr>
                <w:sz w:val="20"/>
              </w:rPr>
              <w:t>Apaza Quispe Antonio Vicente</w:t>
            </w:r>
          </w:p>
        </w:tc>
        <w:tc>
          <w:tcPr>
            <w:tcW w:type="dxa" w:w="1008"/>
            <w:vAlign w:val="center"/>
          </w:tcPr>
          <w:p>
            <w:pPr>
              <w:keepNext/>
              <w:spacing w:after="0"/>
            </w:pPr>
            <w:r>
              <w:rPr>
                <w:sz w:val="20"/>
              </w:rPr>
              <w:t>236876</w:t>
            </w:r>
          </w:p>
        </w:tc>
        <w:tc>
          <w:tcPr>
            <w:tcW w:type="dxa" w:w="3816"/>
            <w:vAlign w:val="center"/>
          </w:tcPr>
          <w:p>
            <w:pPr>
              <w:keepNext/>
              <w:spacing w:after="0"/>
            </w:pPr>
            <w:r>
              <w:rPr>
                <w:sz w:val="20"/>
              </w:rPr>
              <w:t>Arias Ramirez Alex</w:t>
            </w:r>
          </w:p>
        </w:tc>
        <w:tc>
          <w:tcPr>
            <w:tcW w:type="dxa" w:w="1008"/>
            <w:vAlign w:val="center"/>
          </w:tcPr>
          <w:p>
            <w:pPr>
              <w:keepNext/>
              <w:spacing w:after="0"/>
            </w:pPr>
            <w:r>
              <w:rPr>
                <w:sz w:val="20"/>
              </w:rPr>
              <w:t>236104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keepNext/>
              <w:spacing w:after="0"/>
            </w:pPr>
            <w:r>
              <w:rPr>
                <w:sz w:val="20"/>
              </w:rPr>
              <w:t>Chura Chambilla Raul Cristian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keepNext/>
              <w:spacing w:after="0"/>
            </w:pPr>
            <w:r>
              <w:rPr>
                <w:sz w:val="20"/>
              </w:rPr>
              <w:t>236567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keepNext/>
              <w:spacing w:after="0"/>
            </w:pPr>
            <w:r>
              <w:rPr>
                <w:sz w:val="20"/>
              </w:rPr>
              <w:t>Escobedo Arapa Kenyi Blanca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keepNext/>
              <w:spacing w:after="0"/>
            </w:pPr>
            <w:r>
              <w:rPr>
                <w:sz w:val="20"/>
              </w:rPr>
              <w:t>236171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/>
              <w:spacing w:after="0"/>
            </w:pPr>
            <w:r>
              <w:rPr>
                <w:sz w:val="20"/>
              </w:rPr>
              <w:t>Mamani Pari Yimmy Jonathan</w:t>
            </w:r>
          </w:p>
        </w:tc>
        <w:tc>
          <w:tcPr>
            <w:tcW w:type="dxa" w:w="1008"/>
            <w:vAlign w:val="center"/>
          </w:tcPr>
          <w:p>
            <w:pPr>
              <w:keepNext/>
              <w:spacing w:after="0"/>
            </w:pPr>
            <w:r>
              <w:rPr>
                <w:sz w:val="20"/>
              </w:rPr>
              <w:t>237317</w:t>
            </w:r>
          </w:p>
        </w:tc>
        <w:tc>
          <w:tcPr>
            <w:tcW w:type="dxa" w:w="3816"/>
            <w:vAlign w:val="center"/>
          </w:tcPr>
          <w:p>
            <w:pPr>
              <w:keepNext/>
              <w:spacing w:after="0"/>
            </w:pPr>
            <w:r>
              <w:rPr>
                <w:sz w:val="20"/>
              </w:rPr>
              <w:t>Quispe Ramos Daniel Jhosimar</w:t>
            </w:r>
          </w:p>
        </w:tc>
        <w:tc>
          <w:tcPr>
            <w:tcW w:type="dxa" w:w="1008"/>
            <w:vAlign w:val="center"/>
          </w:tcPr>
          <w:p>
            <w:pPr>
              <w:keepNext/>
              <w:spacing w:after="0"/>
            </w:pPr>
            <w:r>
              <w:rPr>
                <w:sz w:val="20"/>
              </w:rPr>
              <w:t>236568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Roque Mamani Vidman Ruis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236232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Vidal Fuentes Jordy Anthony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236535</w:t>
            </w:r>
          </w:p>
        </w:tc>
      </w:tr>
    </w:tbl>
    <w:p>
      <w:pPr>
        <w:pStyle w:val="Heading1"/>
      </w:pPr>
      <w:r>
        <w:t>Anexo gráfico</w:t>
      </w:r>
    </w:p>
    <w:p>
      <w:pPr>
        <w:pStyle w:val="Heading2"/>
      </w:pPr>
      <w:r>
        <w:t>Figura 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770071"/>
            <wp:docPr id="3" name="Picture 3" descr="Boceto de dos paneles unidos con cuadros vacíos en blanco y neg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Diseno_de_interfaz__imagenes__01_estru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70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La distribución se define antes de añadir el estilo y los datos.</w:t>
      </w:r>
    </w:p>
    <w:p>
      <w:pPr>
        <w:pStyle w:val="Heading2"/>
      </w:pPr>
      <w:r>
        <w:t>Figura 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770071"/>
            <wp:docPr id="4" name="Picture 4" descr="La misma estructura con superficies grafito y acentos azules, sin nomb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Diseno_de_interfaz__imagenes__02_col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70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 color se incorpora sin cambiar la posición de los paneles.</w:t>
      </w:r>
    </w:p>
    <w:p>
      <w:pPr>
        <w:pStyle w:val="Heading2"/>
      </w:pPr>
      <w:r>
        <w:t>Figura 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770071"/>
            <wp:docPr id="5" name="Picture 5" descr="Chat completo con alex_01 seleccionado, mensajes identificados y campo para escribi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Diseno_de_interfaz__imagenes__03_conteni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70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La estructura y los colores se completan con contenido de ejemplo.</w:t>
      </w:r>
    </w:p>
    <w:p>
      <w:pPr>
        <w:pStyle w:val="Heading2"/>
      </w:pPr>
      <w:r>
        <w:t>Figura 4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938674"/>
            <wp:docPr id="6" name="Picture 6" descr="Formularios rectangulares de ingreso y registro con los campos requeri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Diseno_de_interfaz__imagenes__04_acceso_regist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38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 código tiene 6 dígitos; el usuario, de 3 a 20 caracteres, empieza con una letra y admite letras, números y guion bajo. La contraseña requiere al menos 8 caracteres.</w:t>
      </w:r>
    </w:p>
    <w:p>
      <w:pPr>
        <w:pStyle w:val="Heading2"/>
      </w:pPr>
      <w:r>
        <w:t>Figura 5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33752" cy="5212079"/>
            <wp:docPr id="7" name="Picture 7" descr="Lista de conversaciones y chat como dos vistas consecutivas en celul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Diseno_de_interfaz__imagenes__05_mov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3752" cy="5212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La navegación mantiene los controles principales sin reducir los dos paneles de escritorio a columnas estrechas.</w:t>
      </w:r>
    </w:p>
    <w:sectPr w:rsidR="00FC693F" w:rsidRPr="0006063C" w:rsidSect="00034616">
      <w:footerReference w:type="default" r:id="rId11"/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AzChat · Planificación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P10 Diseño de interfaz</dc:title>
  <dc:subject>Planificación técnica de la aplicación web AzChat</dc:subject>
  <dc:creator>Equipo del proyecto AzChat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