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18"/>
        </w:rPr>
        <w:drawing>
          <wp:inline xmlns:a="http://schemas.openxmlformats.org/drawingml/2006/main" xmlns:pic="http://schemas.openxmlformats.org/drawingml/2006/picture">
            <wp:extent cx="566928" cy="612895"/>
            <wp:docPr id="1" name="Picture 1" descr="Logo de la UN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6128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18"/>
        </w:rPr>
        <w:t xml:space="preserve">      Universidad Nacional del Altiplano     AzChat      </w:t>
      </w:r>
      <w:r>
        <w:rPr>
          <w:b/>
          <w:sz w:val="18"/>
        </w:rPr>
        <w:drawing>
          <wp:inline xmlns:a="http://schemas.openxmlformats.org/drawingml/2006/main" xmlns:pic="http://schemas.openxmlformats.org/drawingml/2006/picture">
            <wp:extent cx="566928" cy="566928"/>
            <wp:docPr id="2" name="Picture 2" descr="Logo de AzCh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zch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P12 Diseño y organización de la construcción</w:t>
      </w:r>
    </w:p>
    <w:p>
      <w:pPr>
        <w:spacing w:after="240"/>
      </w:pPr>
      <w:r>
        <w:rPr>
          <w:i/>
          <w:sz w:val="20"/>
        </w:rPr>
        <w:t>Proyecto AzChat  |  Planificación técnica  |  Metodología Ágil</w:t>
      </w:r>
    </w:p>
    <w:p>
      <w:pPr>
        <w:pStyle w:val="Heading1"/>
      </w:pPr>
      <w:r>
        <w:t>Propósito y resultado previsto</w:t>
      </w:r>
    </w:p>
    <w:p>
      <w:r>
        <w:t>Este documento reúne las decisiones de diseño y organiza la etapa de construcción. La primera versión de AzChat permitirá registrarse, ingresar con usuario o código y conversar en privado mediante texto, con historial conservado. Se utilizará inicialmente con hasta 4 personas y se comprobará una capacidad de 30 conectadas.</w:t>
      </w:r>
    </w:p>
    <w:p>
      <w:r>
        <w:t>La planificación P1–P12 queda documentada. El prototipo de P10 demuestra la navegación con datos ficticios; el servidor, la persistencia y la comunicación entre cuentas reales corresponden a la construcción que se organiza a continuación.</w:t>
      </w:r>
    </w:p>
    <w:p>
      <w:pPr>
        <w:pStyle w:val="Heading1"/>
      </w:pPr>
      <w:r>
        <w:t>Diseño que se construirá</w:t>
      </w:r>
    </w:p>
    <w:p>
      <w:pPr>
        <w:keepNext/>
        <w:spacing w:after="100"/>
      </w:pPr>
      <w:r>
        <w:rPr>
          <w:i/>
        </w:rPr>
        <w:t>Decisiones consolidadas</w:t>
      </w:r>
    </w:p>
    <w:p>
      <w:pPr>
        <w:spacing w:after="100"/>
      </w:pPr>
      <w:r>
        <w:rPr>
          <w:b/>
        </w:rPr>
        <w:t xml:space="preserve">Interfaz. </w:t>
      </w:r>
      <w:r>
        <w:t>HTML, CSS y JavaScript, siguiendo P10: tonos grafito y azul, paneles rectangulares unidos, lista y chat en escritorio, una vista a la vez en celular. Enter envía y Shift + Enter agrega una línea.</w:t>
      </w:r>
    </w:p>
    <w:p>
      <w:pPr>
        <w:spacing w:after="100"/>
      </w:pPr>
      <w:r>
        <w:rPr>
          <w:b/>
        </w:rPr>
        <w:t xml:space="preserve">Servidor. </w:t>
      </w:r>
      <w:r>
        <w:t>Un único proceso Node.js con Express entrega la web y la API. Socket.IO comunica los mensajes ya guardados. Los componentes y las rutas están definidos en P8.</w:t>
      </w:r>
    </w:p>
    <w:p>
      <w:pPr>
        <w:spacing w:after="100"/>
      </w:pPr>
      <w:r>
        <w:rPr>
          <w:b/>
        </w:rPr>
        <w:t xml:space="preserve">Datos y acceso. </w:t>
      </w:r>
      <w:r>
        <w:t>PostgreSQL en Supabase con las cuatro tablas de P11. Argon2id protege las contraseñas; express-session y connect-pg-simple administran sesiones de 8 horas.</w:t>
      </w:r>
    </w:p>
    <w:p>
      <w:pPr>
        <w:spacing w:after="100"/>
      </w:pPr>
      <w:r>
        <w:rPr>
          <w:b/>
        </w:rPr>
        <w:t xml:space="preserve">Alojamiento. </w:t>
      </w:r>
      <w:r>
        <w:t>Una instancia en Render para la web y el servidor, con la base separada en Supabase. Se acepta el arranque tras inactividad de la modalidad gratuita. GitHub Pages aloja la documentación y el prototipo.</w:t>
      </w:r>
    </w:p>
    <w:p>
      <w:pPr>
        <w:spacing w:after="100"/>
      </w:pPr>
      <w:r>
        <w:rPr>
          <w:b/>
        </w:rPr>
        <w:t xml:space="preserve">Alcance. </w:t>
      </w:r>
      <w:r>
        <w:t>Chats privados de texto, búsqueda exacta, una conversación por pareja y mensajes de hasta 1000 caracteres. Se conserva el historial; no se incluyen edición, borrado, recuperación de contraseña, grupos, archivos, audios, llamadas ni administrador.</w:t>
      </w:r>
    </w:p>
    <w:p>
      <w:pPr>
        <w:pStyle w:val="Heading1"/>
      </w:pPr>
      <w:r>
        <w:t>Organización de la construcción</w:t>
      </w:r>
    </w:p>
    <w:p>
      <w:r>
        <w:t>La metodología Ágil se aplica mediante cinco incrementos. Cada uno termina con una demostración, una revisión de sus pruebas y la corrección de los problemas encontrados. El siguiente incremento utiliza la entrega anterior ya revisada.</w:t>
      </w:r>
    </w:p>
    <w:p>
      <w:pPr>
        <w:keepNext/>
        <w:spacing w:after="100"/>
      </w:pPr>
      <w:r>
        <w:rPr>
          <w:i/>
        </w:rPr>
        <w:t>Entregas y condiciones de cierre</w:t>
      </w:r>
    </w:p>
    <w:p>
      <w:pPr>
        <w:spacing w:after="100"/>
      </w:pPr>
      <w:r>
        <w:rPr>
          <w:b/>
        </w:rPr>
        <w:t xml:space="preserve">I1. Datos y acceso. </w:t>
      </w:r>
      <w:r>
        <w:t>Crear el esquema y las tablas de P11. Preparar conexión, registro, hash, ingreso y cierre de sesión. Configurar el vencimiento absoluto y las cookies. Cierre: dos cuentas distintas ingresan con usuario o código; se rechazan datos inválidos y duplicados; el acceso vencido o cerrado no autoriza peticiones. CA-01 a CA-04 y parte de CA-12.</w:t>
      </w:r>
    </w:p>
    <w:p>
      <w:pPr>
        <w:spacing w:after="100"/>
      </w:pPr>
      <w:r>
        <w:rPr>
          <w:b/>
        </w:rPr>
        <w:t xml:space="preserve">I2. Conversaciones privadas. </w:t>
      </w:r>
      <w:r>
        <w:t>Conectar la búsqueda exacta, la lista propia y la apertura de la pareja única. Aplicar los permisos de lectura y escritura. Cierre: A y B abren el mismo chat, incluso al crearlo simultáneamente; C no puede acceder. CA-05, CA-06 y la parte HTTP de CA-10.</w:t>
      </w:r>
    </w:p>
    <w:p>
      <w:pPr>
        <w:spacing w:after="100"/>
      </w:pPr>
      <w:r>
        <w:rPr>
          <w:b/>
        </w:rPr>
        <w:t xml:space="preserve">I3. Mensajes e historial. </w:t>
      </w:r>
      <w:r>
        <w:t>Guardar mensajes válidos, confirmar después de guardar y consultar páginas de 50. Incorporar el emisor y la hora; mostrar el texto sin ejecutarlo. Cierre: los mensajes permanecen al salir, volver a entrar y reiniciar el proceso; las páginas no repiten ni omiten registros del historial de prueba. CA-07, CA-09, CA-12 y parte de CA-08.</w:t>
      </w:r>
    </w:p>
    <w:p>
      <w:pPr>
        <w:spacing w:after="100"/>
      </w:pPr>
      <w:r>
        <w:rPr>
          <w:b/>
        </w:rPr>
        <w:t xml:space="preserve">I4. Actualización y fallos. </w:t>
      </w:r>
      <w:r>
        <w:t>Integrar Socket.IO con la misma sesión; actualizar solo a los participantes. Conservar el borrador y el idEnvio al fallar; reintentar únicamente al pulsar el botón. Cierre: ambos navegadores reciben una sola copia, la reconexión recupera el historial y cerrar o vencer la sesión corta sus canales. CA-08, CA-10, CA-11 y la parte en directo de CA-04.</w:t>
      </w:r>
    </w:p>
    <w:p>
      <w:pPr>
        <w:spacing w:after="100"/>
      </w:pPr>
      <w:r>
        <w:rPr>
          <w:b/>
        </w:rPr>
        <w:t xml:space="preserve">I5. Despliegue y aceptación. </w:t>
      </w:r>
      <w:r>
        <w:t>Publicar la aplicación en Render, conectarla a Supabase y ejecutar todos los criterios de P5. Revisar celular, teclado, permisos, conservación y capacidad. Cierre: todos los CA-01 a CA-14 cuentan con evidencia y se demuestra el chat desde dos navegadores distintos.</w:t>
      </w:r>
    </w:p>
    <w:p>
      <w:pPr>
        <w:pStyle w:val="Heading1"/>
      </w:pPr>
      <w:r>
        <w:t>Archivos previstos</w:t>
      </w:r>
    </w:p>
    <w:p>
      <w:r>
        <w:t>La construcción mantendrá la documentación separada del código. La siguiente estructura concreta los módulos de P8; es una organización prevista, no un inventario de una aplicación ya implementada.</w:t>
      </w:r>
    </w:p>
    <w:p>
      <w:pPr>
        <w:ind w:left="216"/>
      </w:pPr>
      <w:r>
        <w:rPr>
          <w:rFonts w:ascii="Consolas" w:hAnsi="Consolas"/>
          <w:sz w:val="18"/>
        </w:rPr>
        <w:t>AzChat/</w:t>
        <w:br/>
        <w:t xml:space="preserve">  Documentacion/           Documentos P1 a P12 y prototipo</w:t>
        <w:br/>
        <w:t xml:space="preserve">  source/</w:t>
        <w:br/>
        <w:t xml:space="preserve">    servidor.js           Express, rutas y Socket.IO</w:t>
        <w:br/>
        <w:t xml:space="preserve">    acceso.js             Registro, contraseñas y sesiones</w:t>
        <w:br/>
        <w:t xml:space="preserve">    chat.js               Conversaciones, permisos y mensajes</w:t>
        <w:br/>
        <w:t xml:space="preserve">    datos.js              Conexión y consultas PostgreSQL</w:t>
        <w:br/>
        <w:t xml:space="preserve">    base.sql              Definición de las tablas de P11</w:t>
        <w:br/>
        <w:t xml:space="preserve">    publico/</w:t>
        <w:br/>
        <w:t xml:space="preserve">      index.html          Interfaz de la aplicación</w:t>
        <w:br/>
        <w:t xml:space="preserve">      estilos.css</w:t>
        <w:br/>
        <w:t xml:space="preserve">      app.js</w:t>
        <w:br/>
        <w:t xml:space="preserve">  pruebas/                Pruebas de la construcción</w:t>
        <w:br/>
        <w:t xml:space="preserve">  package.json            Inicio y dependencias</w:t>
        <w:br/>
        <w:t xml:space="preserve">  package-lock.json       Versiones instaladas</w:t>
        <w:br/>
        <w:t xml:space="preserve">  .env.example            Nombres de variables, sin secretos</w:t>
      </w:r>
    </w:p>
    <w:p>
      <w:r>
        <w:t>Las dependencias principales serán Express, Socket.IO, pg, argon2, express-session y connect-pg-simple. Se fijarán versiones compatibles y se conservará el archivo de bloqueo. El inicio se preparará como npm start, ejecutando node source/servidor.js. Esos comandos serán utilizables cuando exista la aplicación.</w:t>
      </w:r>
    </w:p>
    <w:p>
      <w:pPr>
        <w:pStyle w:val="Heading1"/>
      </w:pPr>
      <w:r>
        <w:t>Relación entre requisitos diseño y pruebas</w:t>
      </w:r>
    </w:p>
    <w:p>
      <w:pPr>
        <w:keepNext/>
        <w:spacing w:after="100"/>
      </w:pPr>
      <w:r>
        <w:rPr>
          <w:i/>
        </w:rPr>
        <w:t>Trazabilidad de la primera versión</w:t>
      </w:r>
    </w:p>
    <w:p>
      <w:pPr>
        <w:spacing w:after="100"/>
      </w:pPr>
      <w:r>
        <w:rPr>
          <w:b/>
        </w:rPr>
        <w:t xml:space="preserve">Cuenta y acceso. </w:t>
      </w:r>
      <w:r>
        <w:t>RF-01, RF-02, RNF-07; CU-01, CU-02, CU-08. ServicioAcceso; usuarios y sesiones; pantallas de ingreso y registro. I1: CA-01 a CA-04, CA-12.</w:t>
      </w:r>
    </w:p>
    <w:p>
      <w:pPr>
        <w:spacing w:after="100"/>
      </w:pPr>
      <w:r>
        <w:rPr>
          <w:b/>
        </w:rPr>
        <w:t xml:space="preserve">Buscar, abrir y listar. </w:t>
      </w:r>
      <w:r>
        <w:t>RF-04, RF-07; CU-03, CU-04. ServicioChat; usuarios y conversaciones; búsqueda y lista de P10. I2: CA-05 y CA-06.</w:t>
      </w:r>
    </w:p>
    <w:p>
      <w:pPr>
        <w:spacing w:after="100"/>
      </w:pPr>
      <w:r>
        <w:rPr>
          <w:b/>
        </w:rPr>
        <w:t xml:space="preserve">Enviar, recibir e identificar. </w:t>
      </w:r>
      <w:r>
        <w:t>RF-03, RF-05, RF-06, RNF-04; CU-05, CU-06. ClienteChat, ServidorChat y ServicioChat; mensajes; historial y escritura. I3–I4: CA-07 y CA-08.</w:t>
      </w:r>
    </w:p>
    <w:p>
      <w:pPr>
        <w:spacing w:after="100"/>
      </w:pPr>
      <w:r>
        <w:rPr>
          <w:b/>
        </w:rPr>
        <w:t xml:space="preserve">Conservar y recuperar. </w:t>
      </w:r>
      <w:r>
        <w:t>RF-08, RF-09, RNF-05, RNF-06; CU-05, CU-06, CU-07. AccesoDatos y ServicioChat; mensajes e idEnvio; historial, estado y Reintentar. I3–I4: CA-09, CA-11 y CA-12.</w:t>
      </w:r>
    </w:p>
    <w:p>
      <w:pPr>
        <w:spacing w:after="100"/>
      </w:pPr>
      <w:r>
        <w:rPr>
          <w:b/>
        </w:rPr>
        <w:t xml:space="preserve">Privacidad. </w:t>
      </w:r>
      <w:r>
        <w:t>RNF-03, RNF-07. Sesión, permisos en cada operación y canales asignados por el servidor. I1–I4: CA-04, CA-10 y CA-12.</w:t>
      </w:r>
    </w:p>
    <w:p>
      <w:pPr>
        <w:spacing w:after="100"/>
      </w:pPr>
      <w:r>
        <w:rPr>
          <w:b/>
        </w:rPr>
        <w:t xml:space="preserve">Uso y capacidad. </w:t>
      </w:r>
      <w:r>
        <w:t>RNF-01, RNF-02. Vistas de P10 y arquitectura de P9. I5: CA-13 y CA-14.</w:t>
      </w:r>
    </w:p>
    <w:p>
      <w:pPr>
        <w:pStyle w:val="Heading1"/>
      </w:pPr>
      <w:r>
        <w:t>Pruebas de aceptación</w:t>
      </w:r>
    </w:p>
    <w:p>
      <w:r>
        <w:t>La referencia completa es P5, criterios CA-01 a CA-14. Cada prueba registrará la versión, el entorno, los pasos, el resultado esperado, el resultado obtenido y una evidencia breve. Una prueba pendiente no se marcará como aprobada.</w:t>
      </w:r>
    </w:p>
    <w:p>
      <w:pPr>
        <w:pStyle w:val="ListBullet"/>
      </w:pPr>
      <w:r>
        <w:t>Datos: comprobar claves, duplicados, pareja inversa, intento repetido y límites de texto. Probar también peticiones que omitan la validación de la interfaz.</w:t>
      </w:r>
    </w:p>
    <w:p>
      <w:pPr>
        <w:pStyle w:val="ListBullet"/>
      </w:pPr>
      <w:r>
        <w:t>Privacidad: usar A y B como pareja y C como cuenta ajena. C no puede leer, escribir ni recibir eventos del chat A–B. Las respuestas no muestran datos privados del registro.</w:t>
      </w:r>
    </w:p>
    <w:p>
      <w:pPr>
        <w:pStyle w:val="ListBullet"/>
      </w:pPr>
      <w:r>
        <w:t>Persistencia: enviar mientras B está desconectado, volver a entrar, reiniciar el servidor y consultar más de 50 mensajes. El historial confirmado permanece disponible.</w:t>
      </w:r>
    </w:p>
    <w:p>
      <w:pPr>
        <w:pStyle w:val="ListBullet"/>
      </w:pPr>
      <w:r>
        <w:t>Fallos: interrumpir antes y después del guardado, incluida la pérdida de confirmación. La recuperación de conexión no envía borradores; el reintento manual conserva un solo registro. Reutilizar idEnvio con otro texto o chat se rechaza.</w:t>
      </w:r>
    </w:p>
    <w:p>
      <w:pPr>
        <w:pStyle w:val="ListBullet"/>
      </w:pPr>
      <w:r>
        <w:t>Sesiones: comprobar salida y vencimiento absoluto con peticiones y conexiones en directo. Se simulará el tiempo en un entorno de prueba para verificar las 8 horas sin esperar ese plazo.</w:t>
      </w:r>
    </w:p>
    <w:p>
      <w:pPr>
        <w:pStyle w:val="ListBullet"/>
      </w:pPr>
      <w:r>
        <w:t>Interfaz: comprobar computadora, celular, teclado, Enter y Shift + Enter. Diferenciar las pruebas del prototipo local de las pruebas de la aplicación conectada al servidor.</w:t>
      </w:r>
    </w:p>
    <w:p>
      <w:pPr>
        <w:pStyle w:val="Heading2"/>
      </w:pPr>
      <w:r>
        <w:t>Escenario de 30 usuarios</w:t>
      </w:r>
    </w:p>
    <w:p>
      <w:r>
        <w:t>Con el servidor activo y conexión estable, 30 usuarios forman 15 parejas. Durante 2 minutos, cada usuario envía un texto cada 10 segundos, según CA-13. Cada mensaje debe aparecer en el destinatario en un máximo de 3 segundos desde la acción de enviar, sin pérdida ni duplicación de mensajes confirmados.</w:t>
      </w:r>
    </w:p>
    <w:p>
      <w:r>
        <w:t>La herramienta de prueba registrará los instantes de envío y visualización con una referencia de tiempo común, además de los identificadores para comprobar la correspondencia con la base. Las conexiones simuladas servirán para medir carga; la demostración funcional se hará además desde dos navegadores distintos. El arranque inicial del alojamiento gratuito se registra por separado.</w:t>
      </w:r>
    </w:p>
    <w:p>
      <w:pPr>
        <w:pStyle w:val="Heading1"/>
      </w:pPr>
      <w:r>
        <w:t>Preparación y despliegue</w:t>
      </w:r>
    </w:p>
    <w:p>
      <w:pPr>
        <w:pStyle w:val="ListNumber"/>
      </w:pPr>
      <w:r>
        <w:t>Preparar las cuentas de Render y Supabase y elegir sus configuraciones gratuitas para la demostración. Confirmar sus condiciones al momento de desplegar.</w:t>
      </w:r>
    </w:p>
    <w:p>
      <w:pPr>
        <w:pStyle w:val="ListNumber"/>
      </w:pPr>
      <w:r>
        <w:t>Crear el esquema privado azchat y un rol de conexión con permisos limitados. Revisar que las tablas no estén expuestas por la Data API. Mantener una copia exportada de los datos de prueba y comprobar su restauración antes de la demostración.</w:t>
      </w:r>
    </w:p>
    <w:p>
      <w:pPr>
        <w:pStyle w:val="ListNumber"/>
      </w:pPr>
      <w:r>
        <w:t>Configurar en Render DATABASE_URL, SESSION_SECRET y APP_URL. Utilizar el PORT que proporcione el alojamiento y el mismo grupo inicial de hasta 5 conexiones para datos y sesiones.</w:t>
      </w:r>
    </w:p>
    <w:p>
      <w:pPr>
        <w:pStyle w:val="ListNumber"/>
      </w:pPr>
      <w:r>
        <w:t>Publicar una sola aplicación con su interfaz y servidor en el mismo origen HTTPS. Configurar cookies seguras, comprobación del origen, límite de intentos de acceso y autorización de los canales.</w:t>
      </w:r>
    </w:p>
    <w:p>
      <w:pPr>
        <w:pStyle w:val="ListNumber"/>
      </w:pPr>
      <w:r>
        <w:t>Crear cuentas ficticias de prueba, ejecutar la aceptación y registrar la dirección real de la aplicación. Las credenciales se mantienen en las variables del servidor; el repositorio conserva solo sus nombres en .env.example.</w:t>
      </w:r>
    </w:p>
    <w:p>
      <w:pPr>
        <w:pStyle w:val="Heading1"/>
      </w:pPr>
      <w:r>
        <w:t>Revisión del equipo y cierre de planificación</w:t>
      </w:r>
    </w:p>
    <w:p>
      <w:r>
        <w:t>El equipo organizará las tareas de cada incremento en una lista sencilla: pendiente, en curso y terminado. Cada tarea tendrá una persona responsable; otra revisará el resultado y las pruebas. Los integrantes se indican al final del documento. Las fechas y asignaciones se acordarán al iniciar cada entrega.</w:t>
      </w:r>
    </w:p>
    <w:p>
      <w:r>
        <w:t>Una entrega se considera terminada cuando sus funciones están integradas, pasan las comprobaciones previstas y la documentación coincide con el resultado. Los problemas detectados se anotan con pasos para reproducirlos y se corrigen antes de dar por aceptada la entrega.</w:t>
      </w:r>
    </w:p>
    <w:p>
      <w:r>
        <w:t>Los 12 pasos de planificación están disponibles. Esta entrega no acredita que el chat ya esté construido o desplegado, ni que haya superado la prueba de 30 usuarios. La siguiente etapa es implementar I1 y continuar con los incrementos definidos.</w:t>
      </w:r>
    </w:p>
    <w:p>
      <w:pPr>
        <w:pStyle w:val="Heading1"/>
      </w:pPr>
      <w:r>
        <w:t>Consideraciones técnicas complementarias</w:t>
      </w:r>
    </w:p>
    <w:p>
      <w:pPr>
        <w:spacing w:after="100"/>
      </w:pPr>
      <w:r>
        <w:rPr>
          <w:b/>
        </w:rPr>
        <w:t xml:space="preserve">Dependencias y evidencia. </w:t>
      </w:r>
      <w:r>
        <w:t>Cada incremento requiere la entrega anterior revisada. Las verificaciones registrarán versión, configuración, pasos, datos ficticios, resultado obtenido y defectos pendientes.</w:t>
      </w:r>
    </w:p>
    <w:p>
      <w:pPr>
        <w:spacing w:after="100"/>
      </w:pPr>
      <w:r>
        <w:rPr>
          <w:b/>
        </w:rPr>
        <w:t xml:space="preserve">Pruebas con concurrencia. </w:t>
      </w:r>
      <w:r>
        <w:t>El equipo comprobará la creación simultánea de una misma pareja, la pérdida de confirmación y la lectura de páginas mientras llegan mensajes. Un identificador secuencial no demuestra por sí solo que la recuperación no omita mensajes.</w:t>
      </w:r>
    </w:p>
    <w:p>
      <w:pPr>
        <w:pStyle w:val="Heading1"/>
      </w:pPr>
      <w:r>
        <w:t>Equipo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20" w:type="dxa"/>
          <w:right w:w="120" w:type="dxa"/>
        </w:tblCellMar>
      </w:tblPr>
      <w:tblGrid>
        <w:gridCol w:w="3816"/>
        <w:gridCol w:w="1008"/>
        <w:gridCol w:w="3816"/>
        <w:gridCol w:w="1008"/>
      </w:tblGrid>
      <w:tr>
        <w:trPr>
          <w:tblHeader w:val="true"/>
        </w:trPr>
        <w:tc>
          <w:tcPr>
            <w:tcW w:type="dxa" w:w="3816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008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816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008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Apaza Quispe Antonio Vicente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236876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Arias Ramirez Alex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236104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Chura Chambilla Raul Cristian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236567</w:t>
            </w:r>
          </w:p>
        </w:tc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Escobedo Arapa Kenyi Blanca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236171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Mamani Pari Yimmy Jonathan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237317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Quispe Ramos Daniel Jhosimar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236568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Roque Mamani Vidman Ruis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236232</w:t>
            </w:r>
          </w:p>
        </w:tc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Vidal Fuentes Jordy Anthony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236535</w:t>
            </w:r>
          </w:p>
        </w:tc>
      </w:tr>
    </w:tbl>
    <w:p>
      <w:pPr>
        <w:pStyle w:val="Heading1"/>
      </w:pPr>
      <w:r>
        <w:t>Anexo gráfico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4602" cy="5212080"/>
            <wp:docPr id="3" name="Picture 3" descr="Cinco incrementos: datos y acceso, conversaciones, mensajes e historial, actualización y fallos, despliegue y aceptación. Se revisa y corrige entre entreg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Diseno_y_construccion__Plan_construccion_AzCh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4602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La secuencia organiza las dependencias. Las observaciones de cada revisión pueden actualizar el diseño y los documentos relacionados.</w:t>
      </w:r>
    </w:p>
    <w:sectPr w:rsidR="00FC693F" w:rsidRPr="0006063C" w:rsidSect="00034616">
      <w:footerReference w:type="default" r:id="rId11"/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AzChat · Planificación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P12 Diseño y organización de la construcción</dc:title>
  <dc:subject>Planificación técnica de la aplicación web AzChat</dc:subject>
  <dc:creator>Equipo del proyecto AzChat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