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18"/>
        </w:rPr>
        <w:drawing>
          <wp:inline xmlns:a="http://schemas.openxmlformats.org/drawingml/2006/main" xmlns:pic="http://schemas.openxmlformats.org/drawingml/2006/picture">
            <wp:extent cx="566928" cy="612895"/>
            <wp:docPr id="1" name="Picture 1" descr="Logo de la UNAP"/>
            <wp:cNvGraphicFramePr>
              <a:graphicFrameLocks noChangeAspect="1"/>
            </wp:cNvGraphicFramePr>
            <a:graphic>
              <a:graphicData uri="http://schemas.openxmlformats.org/drawingml/2006/picture">
                <pic:pic>
                  <pic:nvPicPr>
                    <pic:cNvPr id="0" name="logo_unap.png"/>
                    <pic:cNvPicPr/>
                  </pic:nvPicPr>
                  <pic:blipFill>
                    <a:blip r:embed="rId9"/>
                    <a:stretch>
                      <a:fillRect/>
                    </a:stretch>
                  </pic:blipFill>
                  <pic:spPr>
                    <a:xfrm>
                      <a:off x="0" y="0"/>
                      <a:ext cx="566928" cy="612895"/>
                    </a:xfrm>
                    <a:prstGeom prst="rect"/>
                  </pic:spPr>
                </pic:pic>
              </a:graphicData>
            </a:graphic>
          </wp:inline>
        </w:drawing>
      </w:r>
      <w:r>
        <w:rPr>
          <w:b/>
          <w:sz w:val="18"/>
        </w:rPr>
        <w:t xml:space="preserve">      Universidad Nacional del Altiplano     AzChat      </w:t>
      </w:r>
      <w:r>
        <w:rPr>
          <w:b/>
          <w:sz w:val="18"/>
        </w:rPr>
        <w:drawing>
          <wp:inline xmlns:a="http://schemas.openxmlformats.org/drawingml/2006/main" xmlns:pic="http://schemas.openxmlformats.org/drawingml/2006/picture">
            <wp:extent cx="566928" cy="566928"/>
            <wp:docPr id="2" name="Picture 2" descr="Logo de AzChat"/>
            <wp:cNvGraphicFramePr>
              <a:graphicFrameLocks noChangeAspect="1"/>
            </wp:cNvGraphicFramePr>
            <a:graphic>
              <a:graphicData uri="http://schemas.openxmlformats.org/drawingml/2006/picture">
                <pic:pic>
                  <pic:nvPicPr>
                    <pic:cNvPr id="0" name="logo_azchat.png"/>
                    <pic:cNvPicPr/>
                  </pic:nvPicPr>
                  <pic:blipFill>
                    <a:blip r:embed="rId10"/>
                    <a:stretch>
                      <a:fillRect/>
                    </a:stretch>
                  </pic:blipFill>
                  <pic:spPr>
                    <a:xfrm>
                      <a:off x="0" y="0"/>
                      <a:ext cx="566928" cy="566928"/>
                    </a:xfrm>
                    <a:prstGeom prst="rect"/>
                  </pic:spPr>
                </pic:pic>
              </a:graphicData>
            </a:graphic>
          </wp:inline>
        </w:drawing>
      </w:r>
    </w:p>
    <w:p>
      <w:pPr>
        <w:pStyle w:val="Title"/>
      </w:pPr>
      <w:r>
        <w:t>P3 Catálogo de requisitos</w:t>
      </w:r>
    </w:p>
    <w:p>
      <w:pPr>
        <w:spacing w:after="240"/>
      </w:pPr>
      <w:r>
        <w:rPr>
          <w:i/>
          <w:sz w:val="20"/>
        </w:rPr>
        <w:t>Proyecto AzChat  |  Planificación técnica  |  Metodología Ágil</w:t>
      </w:r>
    </w:p>
    <w:p>
      <w:pPr>
        <w:pStyle w:val="Heading1"/>
      </w:pPr>
      <w:r>
        <w:t>Propósito</w:t>
      </w:r>
    </w:p>
    <w:p>
      <w:r>
        <w:t>Este catálogo establece qué debe hacer AzChat y bajo qué condiciones debe funcionar. Sirve como referencia para el diseño, la construcción y las pruebas del sistema.</w:t>
      </w:r>
    </w:p>
    <w:p>
      <w:r>
        <w:t>Los requisitos funcionales (RF) describen las tareas de la aplicación. Los requisitos no funcionales (RNF) describen sus condiciones de uso, capacidad y protección de datos.</w:t>
      </w:r>
    </w:p>
    <w:p>
      <w:pPr>
        <w:pStyle w:val="Heading1"/>
      </w:pPr>
      <w:r>
        <w:t>Requisitos funcionales</w:t>
      </w:r>
    </w:p>
    <w:p>
      <w:pPr>
        <w:keepNext/>
        <w:spacing w:after="100"/>
      </w:pPr>
      <w:r>
        <w:rPr>
          <w:i/>
        </w:rPr>
        <w:t>Funciones de la primera versión</w:t>
      </w:r>
    </w:p>
    <w:p>
      <w:pPr>
        <w:spacing w:after="100"/>
      </w:pPr>
      <w:r>
        <w:rPr>
          <w:b/>
        </w:rPr>
        <w:t xml:space="preserve">RF-01. Registro. </w:t>
      </w:r>
      <w:r>
        <w:t>La aplicación deberá permitir que cada persona cree su cuenta ingresando nombre completo, código de estudiante, nombre de usuario y contraseña. Todos estos campos serán obligatorios. El código tendrá 6 dígitos; el usuario tendrá de 3 a 20 caracteres, empezará por una letra y admitirá letras, números y guion bajo; la contraseña tendrá al menos 8 caracteres. El usuario no distinguirá mayúsculas y minúsculas.</w:t>
      </w:r>
    </w:p>
    <w:p>
      <w:pPr>
        <w:spacing w:after="100"/>
      </w:pPr>
      <w:r>
        <w:rPr>
          <w:b/>
        </w:rPr>
        <w:t xml:space="preserve">RF-02. Sesión. </w:t>
      </w:r>
      <w:r>
        <w:t>La aplicación deberá permitir ingresar con el nombre de usuario o el código de estudiante, junto con la contraseña, y cerrar sesión. Será necesario iniciar sesión para acceder a las conversaciones. Cada sesión vencerá a las 8 horas desde el ingreso, sin renovación automática por actividad.</w:t>
      </w:r>
    </w:p>
    <w:p>
      <w:pPr>
        <w:spacing w:after="100"/>
      </w:pPr>
      <w:r>
        <w:rPr>
          <w:b/>
        </w:rPr>
        <w:t xml:space="preserve">RF-03. Identidad. </w:t>
      </w:r>
      <w:r>
        <w:t>Los mensajes y las conversaciones deberán identificar a cada participante por su nombre de usuario.</w:t>
      </w:r>
    </w:p>
    <w:p>
      <w:pPr>
        <w:spacing w:after="100"/>
      </w:pPr>
      <w:r>
        <w:rPr>
          <w:b/>
        </w:rPr>
        <w:t xml:space="preserve">RF-04. Chat privado. </w:t>
      </w:r>
      <w:r>
        <w:t>Una persona deberá poder buscar a otra persona registrada por su nombre de usuario exacto e iniciar una conversación privada entre ambas. Si no existe una coincidencia, la aplicación deberá indicarlo. Cada pareja de personas distintas tendrá una única conversación; las búsquedas posteriores abrirán ese mismo chat.</w:t>
      </w:r>
    </w:p>
    <w:p>
      <w:pPr>
        <w:spacing w:after="100"/>
      </w:pPr>
      <w:r>
        <w:rPr>
          <w:b/>
        </w:rPr>
        <w:t xml:space="preserve">RF-05. Envío. </w:t>
      </w:r>
      <w:r>
        <w:t>El participante deberá poder enviar mensajes de texto de hasta 1000 caracteres. Se rechazarán los mensajes vacíos, formados únicamente por espacios o superiores al límite.</w:t>
      </w:r>
    </w:p>
    <w:p>
      <w:pPr>
        <w:spacing w:after="100"/>
      </w:pPr>
      <w:r>
        <w:rPr>
          <w:b/>
        </w:rPr>
        <w:t xml:space="preserve">RF-06. Recepción. </w:t>
      </w:r>
      <w:r>
        <w:t>Los mensajes nuevos deberán aparecer en la conversación de ambos participantes sin recargar la página, mientras estén conectados. Cada mensaje deberá mostrar su emisor.</w:t>
      </w:r>
    </w:p>
    <w:p>
      <w:pPr>
        <w:spacing w:after="100"/>
      </w:pPr>
      <w:r>
        <w:rPr>
          <w:b/>
        </w:rPr>
        <w:t xml:space="preserve">RF-07. Conversaciones. </w:t>
      </w:r>
      <w:r>
        <w:t>La aplicación deberá mostrar las conversaciones de la cuenta activa y permitir abrir cada una de ellas.</w:t>
      </w:r>
    </w:p>
    <w:p>
      <w:pPr>
        <w:spacing w:after="100"/>
      </w:pPr>
      <w:r>
        <w:rPr>
          <w:b/>
        </w:rPr>
        <w:t xml:space="preserve">RF-08. Historial. </w:t>
      </w:r>
      <w:r>
        <w:t>Los participantes deberán poder consultar los mensajes anteriores al volver a entrar, incluidos los recibidos durante su ausencia. Cerrar sesión o el navegador no deberá borrar los mensajes.</w:t>
      </w:r>
    </w:p>
    <w:p>
      <w:pPr>
        <w:spacing w:after="100"/>
      </w:pPr>
      <w:r>
        <w:rPr>
          <w:b/>
        </w:rPr>
        <w:t xml:space="preserve">RF-09. Estado de conexión. </w:t>
      </w:r>
      <w:r>
        <w:t>La aplicación deberá informar si se pierde la conexión o falla un envío. Un envío fallido no deberá mostrarse como confirmado. El texto se conservará mientras siga abierta la página y el reintento se realizará al pulsar un botón, sin reenvío automático ni duplicación de un mensaje ya guardado.</w:t>
      </w:r>
    </w:p>
    <w:p>
      <w:pPr>
        <w:pStyle w:val="Heading1"/>
      </w:pPr>
      <w:r>
        <w:t>Requisitos no funcionales</w:t>
      </w:r>
    </w:p>
    <w:p>
      <w:pPr>
        <w:keepNext/>
        <w:spacing w:after="100"/>
      </w:pPr>
      <w:r>
        <w:rPr>
          <w:i/>
        </w:rPr>
        <w:t>Condiciones de funcionamiento</w:t>
      </w:r>
    </w:p>
    <w:p>
      <w:pPr>
        <w:spacing w:after="100"/>
      </w:pPr>
      <w:r>
        <w:rPr>
          <w:b/>
        </w:rPr>
        <w:t xml:space="preserve">RNF-01. Uso en navegador. </w:t>
      </w:r>
      <w:r>
        <w:t>La web deberá permitir leer y enviar mensajes desde navegadores modernos, tanto en computadora como en celular. Los controles y textos deberán ser legibles en pantallas pequeñas.</w:t>
      </w:r>
    </w:p>
    <w:p>
      <w:pPr>
        <w:spacing w:after="100"/>
      </w:pPr>
      <w:r>
        <w:rPr>
          <w:b/>
        </w:rPr>
        <w:t xml:space="preserve">RNF-02. Capacidad. </w:t>
      </w:r>
      <w:r>
        <w:t>La meta inicial será atender hasta 30 usuarios conectados simultáneamente, manteniendo el acceso, el envío y la recepción de mensajes. Esta capacidad deberá comprobarse durante la construcción. Con conexión estable, la recepción tendrá como objetivo un máximo de 3 segundos por mensaje en el escenario CA-13 de P5.</w:t>
      </w:r>
    </w:p>
    <w:p>
      <w:pPr>
        <w:spacing w:after="100"/>
      </w:pPr>
      <w:r>
        <w:rPr>
          <w:b/>
        </w:rPr>
        <w:t xml:space="preserve">RNF-03. Privacidad. </w:t>
      </w:r>
      <w:r>
        <w:t>El servicio deberá comprobar la identidad y la participación en la conversación antes de permitir leer o enviar mensajes, tanto en el historial como en la comunicación en tiempo real. Ocultar un chat en la interfaz no será suficiente para protegerlo.</w:t>
      </w:r>
    </w:p>
    <w:p>
      <w:pPr>
        <w:spacing w:after="100"/>
      </w:pPr>
      <w:r>
        <w:rPr>
          <w:b/>
        </w:rPr>
        <w:t xml:space="preserve">RNF-04. Validación. </w:t>
      </w:r>
      <w:r>
        <w:t>El contenido deberá validarse en la web y en el servicio que almacene los mensajes. Los mensajes deberán mostrarse como texto, sin ejecutar código incluido en ellos.</w:t>
      </w:r>
    </w:p>
    <w:p>
      <w:pPr>
        <w:spacing w:after="100"/>
      </w:pPr>
      <w:r>
        <w:rPr>
          <w:b/>
        </w:rPr>
        <w:t xml:space="preserve">RNF-05. Conservación. </w:t>
      </w:r>
      <w:r>
        <w:t>Las cuentas, las conversaciones y los mensajes deberán almacenarse en la nube. El historial deberá conservarse entre sesiones y al reiniciar la aplicación.</w:t>
      </w:r>
    </w:p>
    <w:p>
      <w:pPr>
        <w:spacing w:after="100"/>
      </w:pPr>
      <w:r>
        <w:rPr>
          <w:b/>
        </w:rPr>
        <w:t xml:space="preserve">RNF-06. Recuperación de conexión. </w:t>
      </w:r>
      <w:r>
        <w:t>Después de recuperar el acceso, la aplicación deberá poder consultar el historial para obtener los mensajes que no recibió en directo. Cada mensaje guardado deberá aparecer una sola vez en el historial mostrado.</w:t>
      </w:r>
    </w:p>
    <w:p>
      <w:pPr>
        <w:spacing w:after="100"/>
      </w:pPr>
      <w:r>
        <w:rPr>
          <w:b/>
        </w:rPr>
        <w:t xml:space="preserve">RNF-07. Contraseñas. </w:t>
      </w:r>
      <w:r>
        <w:t>La contraseña deberá almacenarse mediante un hash seguro: una representación que permita comprobarla sin guardar su texto original. El sistema no deberá mostrarla ni devolverla al consultar los datos de una cuenta.</w:t>
      </w:r>
    </w:p>
    <w:p>
      <w:pPr>
        <w:pStyle w:val="Heading1"/>
      </w:pPr>
      <w:r>
        <w:t>Reglas generales</w:t>
      </w:r>
    </w:p>
    <w:p>
      <w:pPr>
        <w:pStyle w:val="ListBullet"/>
      </w:pPr>
      <w:r>
        <w:t>Todos los usuarios tendrán las mismas funciones; no habrá un administrador dentro de la web.</w:t>
      </w:r>
    </w:p>
    <w:p>
      <w:pPr>
        <w:pStyle w:val="ListBullet"/>
      </w:pPr>
      <w:r>
        <w:t>Cada conversación tendrá únicamente dos participantes.</w:t>
      </w:r>
    </w:p>
    <w:p>
      <w:pPr>
        <w:pStyle w:val="ListBullet"/>
      </w:pPr>
      <w:r>
        <w:t>La primera versión permitirá mensajes de texto.</w:t>
      </w:r>
    </w:p>
    <w:p>
      <w:pPr>
        <w:pStyle w:val="ListBullet"/>
      </w:pPr>
      <w:r>
        <w:t>La recuperación y el cambio de contraseña quedan fuera de esta primera versión.</w:t>
      </w:r>
    </w:p>
    <w:p>
      <w:pPr>
        <w:pStyle w:val="ListBullet"/>
      </w:pPr>
      <w:r>
        <w:t>Los mensajes se conservarán para consultar el historial.</w:t>
      </w:r>
    </w:p>
    <w:p>
      <w:pPr>
        <w:pStyle w:val="ListBullet"/>
      </w:pPr>
      <w:r>
        <w:t>No habrá borrado automático del historial ni funciones para editar o borrar mensajes en la primera versión.</w:t>
      </w:r>
    </w:p>
    <w:p>
      <w:pPr>
        <w:pStyle w:val="ListBullet"/>
      </w:pPr>
      <w:r>
        <w:t>El nombre de usuario y el código de estudiante deberán ser únicos. El identificador utilizado para ingresar deberá corresponder a una única cuenta, sin confundir el nombre de usuario de una persona con el código de otra.</w:t>
      </w:r>
    </w:p>
    <w:p>
      <w:pPr>
        <w:pStyle w:val="ListBullet"/>
      </w:pPr>
      <w:r>
        <w:t>Las funciones excluidas se detallan en P1: grupos, archivos, audios, llamadas, aplicaciones Android o iOS y cifrado de extremo a extremo.</w:t>
      </w:r>
    </w:p>
    <w:p>
      <w:pPr>
        <w:pStyle w:val="Heading1"/>
      </w:pPr>
      <w:r>
        <w:t>Datos de registro</w:t>
      </w:r>
    </w:p>
    <w:p>
      <w:r>
        <w:t>El registro solicitará los siguientes datos. El acceso no requerirá correo electrónico ni número de teléfono.</w:t>
      </w:r>
    </w:p>
    <w:p>
      <w:pPr>
        <w:keepNext/>
        <w:spacing w:after="100"/>
      </w:pPr>
      <w:r>
        <w:rPr>
          <w:i/>
        </w:rPr>
        <w:t>Información asociada a cada cuenta</w:t>
      </w:r>
    </w:p>
    <w:p>
      <w:pPr>
        <w:spacing w:after="100"/>
      </w:pPr>
      <w:r>
        <w:rPr>
          <w:b/>
        </w:rPr>
        <w:t xml:space="preserve">Nombre completo. </w:t>
      </w:r>
      <w:r>
        <w:t>Registrar los nombres y apellidos del titular de la cuenta.</w:t>
      </w:r>
    </w:p>
    <w:p>
      <w:pPr>
        <w:spacing w:after="100"/>
      </w:pPr>
      <w:r>
        <w:rPr>
          <w:b/>
        </w:rPr>
        <w:t xml:space="preserve">Código de estudiante. </w:t>
      </w:r>
      <w:r>
        <w:t>Identificar al estudiante y permitir su ingreso como alternativa al nombre de usuario.</w:t>
      </w:r>
    </w:p>
    <w:p>
      <w:pPr>
        <w:spacing w:after="100"/>
      </w:pPr>
      <w:r>
        <w:rPr>
          <w:b/>
        </w:rPr>
        <w:t xml:space="preserve">Nombre de usuario. </w:t>
      </w:r>
      <w:r>
        <w:t>Permitir el ingreso, la búsqueda exacta de destinatarios y la identificación visible en las conversaciones.</w:t>
      </w:r>
    </w:p>
    <w:p>
      <w:pPr>
        <w:spacing w:after="100"/>
      </w:pPr>
      <w:r>
        <w:rPr>
          <w:b/>
        </w:rPr>
        <w:t xml:space="preserve">Contraseña. </w:t>
      </w:r>
      <w:r>
        <w:t>Comprobar el acceso a la cuenta. Se conservará únicamente su hash seguro.</w:t>
      </w:r>
    </w:p>
    <w:p>
      <w:r>
        <w:t>P8 detalla los componentes técnicos y P9 la arquitectura en Render y PostgreSQL de Supabase. El modelo de datos se detalla en P11.</w:t>
      </w:r>
    </w:p>
    <w:p>
      <w:pPr>
        <w:pStyle w:val="Heading1"/>
      </w:pPr>
      <w:r>
        <w:t>Consideraciones técnicas complementarias</w:t>
      </w:r>
    </w:p>
    <w:p>
      <w:pPr>
        <w:spacing w:after="100"/>
      </w:pPr>
      <w:r>
        <w:rPr>
          <w:b/>
        </w:rPr>
        <w:t xml:space="preserve">Verificabilidad. </w:t>
      </w:r>
      <w:r>
        <w:t>Cada requisito se interpreta mediante los criterios CA-01 a CA-14 de P5. La implementación deberá conservar evidencia de entradas, resultados esperados y resultados observados.</w:t>
      </w:r>
    </w:p>
    <w:p>
      <w:pPr>
        <w:spacing w:after="100"/>
      </w:pPr>
      <w:r>
        <w:rPr>
          <w:b/>
        </w:rPr>
        <w:t xml:space="preserve">Medición. </w:t>
      </w:r>
      <w:r>
        <w:t>El objetivo temporal se medirá con el servidor activo, 30 usuarios en 15 parejas, conexión estable y el patrón de envío definido en P5. La disponibilidad no se deduce del diseño.</w:t>
      </w:r>
    </w:p>
    <w:p>
      <w:pPr>
        <w:pStyle w:val="Heading1"/>
      </w:pPr>
      <w:r>
        <w:t>Equipo del proyecto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20" w:type="dxa"/>
          <w:right w:w="120" w:type="dxa"/>
        </w:tblCellMar>
      </w:tblPr>
      <w:tblGrid>
        <w:gridCol w:w="3816"/>
        <w:gridCol w:w="1008"/>
        <w:gridCol w:w="3816"/>
        <w:gridCol w:w="1008"/>
      </w:tblGrid>
      <w:tr>
        <w:trPr>
          <w:tblHeader w:val="true"/>
        </w:trPr>
        <w:tc>
          <w:tcPr>
            <w:tcW w:type="dxa" w:w="3816"/>
            <w:vAlign w:val="center"/>
            <w:shd w:fill="254C68"/>
          </w:tcPr>
          <w:p>
            <w:r>
              <w:rPr>
                <w:b/>
                <w:color w:val="FFFFFF"/>
                <w:sz w:val="20"/>
              </w:rPr>
              <w:t>Integrante</w:t>
            </w:r>
          </w:p>
        </w:tc>
        <w:tc>
          <w:tcPr>
            <w:tcW w:type="dxa" w:w="1008"/>
            <w:vAlign w:val="center"/>
            <w:shd w:fill="254C68"/>
          </w:tcPr>
          <w:p>
            <w:r>
              <w:rPr>
                <w:b/>
                <w:color w:val="FFFFFF"/>
                <w:sz w:val="20"/>
              </w:rPr>
              <w:t>Código</w:t>
            </w:r>
          </w:p>
        </w:tc>
        <w:tc>
          <w:tcPr>
            <w:tcW w:type="dxa" w:w="3816"/>
            <w:vAlign w:val="center"/>
            <w:shd w:fill="254C68"/>
          </w:tcPr>
          <w:p>
            <w:r>
              <w:rPr>
                <w:b/>
                <w:color w:val="FFFFFF"/>
                <w:sz w:val="20"/>
              </w:rPr>
              <w:t>Integrante</w:t>
            </w:r>
          </w:p>
        </w:tc>
        <w:tc>
          <w:tcPr>
            <w:tcW w:type="dxa" w:w="1008"/>
            <w:vAlign w:val="center"/>
            <w:shd w:fill="254C68"/>
          </w:tcPr>
          <w:p>
            <w:r>
              <w:rPr>
                <w:b/>
                <w:color w:val="FFFFFF"/>
                <w:sz w:val="20"/>
              </w:rPr>
              <w:t>Código</w:t>
            </w:r>
          </w:p>
        </w:tc>
      </w:tr>
      <w:tr>
        <w:trPr>
          <w:cantSplit/>
        </w:trPr>
        <w:tc>
          <w:tcPr>
            <w:tcW w:type="dxa" w:w="3816"/>
            <w:vAlign w:val="center"/>
          </w:tcPr>
          <w:p>
            <w:pPr>
              <w:spacing w:after="0"/>
            </w:pPr>
            <w:r>
              <w:rPr>
                <w:sz w:val="20"/>
              </w:rPr>
              <w:t>Apaza Quispe Antonio Vicente</w:t>
            </w:r>
          </w:p>
        </w:tc>
        <w:tc>
          <w:tcPr>
            <w:tcW w:type="dxa" w:w="1008"/>
            <w:vAlign w:val="center"/>
          </w:tcPr>
          <w:p>
            <w:pPr>
              <w:spacing w:after="0"/>
            </w:pPr>
            <w:r>
              <w:rPr>
                <w:sz w:val="20"/>
              </w:rPr>
              <w:t>236876</w:t>
            </w:r>
          </w:p>
        </w:tc>
        <w:tc>
          <w:tcPr>
            <w:tcW w:type="dxa" w:w="3816"/>
            <w:vAlign w:val="center"/>
          </w:tcPr>
          <w:p>
            <w:pPr>
              <w:spacing w:after="0"/>
            </w:pPr>
            <w:r>
              <w:rPr>
                <w:sz w:val="20"/>
              </w:rPr>
              <w:t>Arias Ramirez Alex</w:t>
            </w:r>
          </w:p>
        </w:tc>
        <w:tc>
          <w:tcPr>
            <w:tcW w:type="dxa" w:w="1008"/>
            <w:vAlign w:val="center"/>
          </w:tcPr>
          <w:p>
            <w:pPr>
              <w:spacing w:after="0"/>
            </w:pPr>
            <w:r>
              <w:rPr>
                <w:sz w:val="20"/>
              </w:rPr>
              <w:t>236104</w:t>
            </w:r>
          </w:p>
        </w:tc>
      </w:tr>
      <w:tr>
        <w:trPr>
          <w:cantSplit/>
        </w:trPr>
        <w:tc>
          <w:tcPr>
            <w:tcW w:type="dxa" w:w="3816"/>
            <w:vAlign w:val="center"/>
            <w:shd w:fill="F2F6F8"/>
          </w:tcPr>
          <w:p>
            <w:pPr>
              <w:spacing w:after="0"/>
            </w:pPr>
            <w:r>
              <w:rPr>
                <w:sz w:val="20"/>
              </w:rPr>
              <w:t>Chura Chambilla Raul Cristian</w:t>
            </w:r>
          </w:p>
        </w:tc>
        <w:tc>
          <w:tcPr>
            <w:tcW w:type="dxa" w:w="1008"/>
            <w:vAlign w:val="center"/>
            <w:shd w:fill="F2F6F8"/>
          </w:tcPr>
          <w:p>
            <w:pPr>
              <w:spacing w:after="0"/>
            </w:pPr>
            <w:r>
              <w:rPr>
                <w:sz w:val="20"/>
              </w:rPr>
              <w:t>236567</w:t>
            </w:r>
          </w:p>
        </w:tc>
        <w:tc>
          <w:tcPr>
            <w:tcW w:type="dxa" w:w="3816"/>
            <w:vAlign w:val="center"/>
            <w:shd w:fill="F2F6F8"/>
          </w:tcPr>
          <w:p>
            <w:pPr>
              <w:spacing w:after="0"/>
            </w:pPr>
            <w:r>
              <w:rPr>
                <w:sz w:val="20"/>
              </w:rPr>
              <w:t>Escobedo Arapa Kenyi Blanca</w:t>
            </w:r>
          </w:p>
        </w:tc>
        <w:tc>
          <w:tcPr>
            <w:tcW w:type="dxa" w:w="1008"/>
            <w:vAlign w:val="center"/>
            <w:shd w:fill="F2F6F8"/>
          </w:tcPr>
          <w:p>
            <w:pPr>
              <w:spacing w:after="0"/>
            </w:pPr>
            <w:r>
              <w:rPr>
                <w:sz w:val="20"/>
              </w:rPr>
              <w:t>236171</w:t>
            </w:r>
          </w:p>
        </w:tc>
      </w:tr>
      <w:tr>
        <w:trPr>
          <w:cantSplit/>
        </w:trPr>
        <w:tc>
          <w:tcPr>
            <w:tcW w:type="dxa" w:w="3816"/>
            <w:vAlign w:val="center"/>
          </w:tcPr>
          <w:p>
            <w:pPr>
              <w:spacing w:after="0"/>
            </w:pPr>
            <w:r>
              <w:rPr>
                <w:sz w:val="20"/>
              </w:rPr>
              <w:t>Mamani Pari Yimmy Jonathan</w:t>
            </w:r>
          </w:p>
        </w:tc>
        <w:tc>
          <w:tcPr>
            <w:tcW w:type="dxa" w:w="1008"/>
            <w:vAlign w:val="center"/>
          </w:tcPr>
          <w:p>
            <w:pPr>
              <w:spacing w:after="0"/>
            </w:pPr>
            <w:r>
              <w:rPr>
                <w:sz w:val="20"/>
              </w:rPr>
              <w:t>237317</w:t>
            </w:r>
          </w:p>
        </w:tc>
        <w:tc>
          <w:tcPr>
            <w:tcW w:type="dxa" w:w="3816"/>
            <w:vAlign w:val="center"/>
          </w:tcPr>
          <w:p>
            <w:pPr>
              <w:spacing w:after="0"/>
            </w:pPr>
            <w:r>
              <w:rPr>
                <w:sz w:val="20"/>
              </w:rPr>
              <w:t>Quispe Ramos Daniel Jhosimar</w:t>
            </w:r>
          </w:p>
        </w:tc>
        <w:tc>
          <w:tcPr>
            <w:tcW w:type="dxa" w:w="1008"/>
            <w:vAlign w:val="center"/>
          </w:tcPr>
          <w:p>
            <w:pPr>
              <w:spacing w:after="0"/>
            </w:pPr>
            <w:r>
              <w:rPr>
                <w:sz w:val="20"/>
              </w:rPr>
              <w:t>236568</w:t>
            </w:r>
          </w:p>
        </w:tc>
      </w:tr>
      <w:tr>
        <w:trPr>
          <w:cantSplit/>
        </w:trPr>
        <w:tc>
          <w:tcPr>
            <w:tcW w:type="dxa" w:w="3816"/>
            <w:vAlign w:val="center"/>
            <w:shd w:fill="F2F6F8"/>
          </w:tcPr>
          <w:p>
            <w:pPr>
              <w:spacing w:after="0"/>
            </w:pPr>
            <w:r>
              <w:rPr>
                <w:sz w:val="20"/>
              </w:rPr>
              <w:t>Roque Mamani Vidman Ruis</w:t>
            </w:r>
          </w:p>
        </w:tc>
        <w:tc>
          <w:tcPr>
            <w:tcW w:type="dxa" w:w="1008"/>
            <w:vAlign w:val="center"/>
            <w:shd w:fill="F2F6F8"/>
          </w:tcPr>
          <w:p>
            <w:pPr>
              <w:spacing w:after="0"/>
            </w:pPr>
            <w:r>
              <w:rPr>
                <w:sz w:val="20"/>
              </w:rPr>
              <w:t>236232</w:t>
            </w:r>
          </w:p>
        </w:tc>
        <w:tc>
          <w:tcPr>
            <w:tcW w:type="dxa" w:w="3816"/>
            <w:vAlign w:val="center"/>
            <w:shd w:fill="F2F6F8"/>
          </w:tcPr>
          <w:p>
            <w:pPr>
              <w:spacing w:after="0"/>
            </w:pPr>
            <w:r>
              <w:rPr>
                <w:sz w:val="20"/>
              </w:rPr>
              <w:t>Vidal Fuentes Jordy Anthony</w:t>
            </w:r>
          </w:p>
        </w:tc>
        <w:tc>
          <w:tcPr>
            <w:tcW w:type="dxa" w:w="1008"/>
            <w:vAlign w:val="center"/>
            <w:shd w:fill="F2F6F8"/>
          </w:tcPr>
          <w:p>
            <w:pPr>
              <w:spacing w:after="0"/>
            </w:pPr>
            <w:r>
              <w:rPr>
                <w:sz w:val="20"/>
              </w:rPr>
              <w:t>236535</w:t>
            </w:r>
          </w:p>
        </w:tc>
      </w:tr>
    </w:tbl>
    <w:sectPr w:rsidR="00FC693F" w:rsidRPr="0006063C" w:rsidSect="00034616">
      <w:footerReference w:type="default" r:id="rId11"/>
      <w:pgSz w:w="12240" w:h="15840"/>
      <w:pgMar w:top="1037"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AzChat · Planificación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Catálogo de requisitos</dc:title>
  <dc:subject>Planificación técnica de la aplicación web AzChat</dc:subject>
  <dc:creator>Equipo del proyecto AzChat</dc:creator>
  <cp:keywords/>
  <dc:description>generated by python-docx</dc:description>
  <cp:lastModifiedBy/>
  <cp:revision>1</cp:revision>
  <dcterms:created xsi:type="dcterms:W3CDTF">2013-12-23T23:15:00Z</dcterms:created>
  <dcterms:modified xsi:type="dcterms:W3CDTF">2013-12-23T23:15:00Z</dcterms:modified>
  <cp:category/>
</cp:coreProperties>
</file>