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612895"/>
            <wp:docPr id="1" name="Picture 1" descr="Logo de la UN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6128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18"/>
        </w:rPr>
        <w:t xml:space="preserve">      Universidad Nacional del Altiplano     AzChat      </w:t>
      </w: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566928"/>
            <wp:docPr id="2" name="Picture 2" descr="Logo de AzCh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z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P4 Modelo de casos de uso</w:t>
      </w:r>
    </w:p>
    <w:p>
      <w:pPr>
        <w:spacing w:after="240"/>
      </w:pPr>
      <w:r>
        <w:rPr>
          <w:i/>
          <w:sz w:val="20"/>
        </w:rPr>
        <w:t>Proyecto AzChat  |  Planificación técnica  |  Metodología Ágil</w:t>
      </w:r>
    </w:p>
    <w:p>
      <w:pPr>
        <w:pStyle w:val="Heading1"/>
      </w:pPr>
      <w:r>
        <w:t>Actor y alcance</w:t>
      </w:r>
    </w:p>
    <w:p>
      <w:r>
        <w:t>El actor Usuario del chat representa a cualquier persona que utiliza AzChat. Una misma persona puede enviar o recibir mensajes. Cada conversación tiene dos participantes, con las mismas funciones.</w:t>
      </w:r>
    </w:p>
    <w:p>
      <w:r>
        <w:t>El modelo contiene ocho casos de uso y corresponde a los requisitos de P3. Los servicios en la nube son componentes internos de apoyo; no se representan como actores humanos ni como funciones del usuario.</w:t>
      </w:r>
    </w:p>
    <w:p>
      <w:pPr>
        <w:pStyle w:val="Heading1"/>
      </w:pPr>
      <w:r>
        <w:t>Diagrama general</w:t>
      </w:r>
    </w:p>
    <w:p>
      <w:r>
        <w:t>El modelo correspondiente se presenta en el anexo gráfico.</w:t>
      </w:r>
    </w:p>
    <w:p>
      <w:pPr>
        <w:pStyle w:val="Heading1"/>
      </w:pPr>
      <w:r>
        <w:t>Relación con los requisitos</w:t>
      </w:r>
    </w:p>
    <w:p>
      <w:pPr>
        <w:keepNext/>
        <w:spacing w:after="100"/>
      </w:pPr>
      <w:r>
        <w:rPr>
          <w:i/>
        </w:rPr>
        <w:t>Casos de uso y requisitos funcionales asociados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20" w:type="dxa"/>
          <w:right w:w="120" w:type="dxa"/>
        </w:tblCellMar>
      </w:tblPr>
      <w:tblGrid>
        <w:gridCol w:w="6768"/>
        <w:gridCol w:w="2880"/>
      </w:tblGrid>
      <w:tr>
        <w:trPr>
          <w:tblHeader w:val="true"/>
        </w:trPr>
        <w:tc>
          <w:tcPr>
            <w:tcW w:type="dxa" w:w="676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2880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Requisitos de P3</w:t>
            </w:r>
          </w:p>
        </w:tc>
      </w:tr>
      <w:tr>
        <w:trPr>
          <w:cantSplit/>
        </w:trPr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20"/>
              </w:rPr>
              <w:t>CU-01. Registrarse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20"/>
              </w:rPr>
              <w:t>RF-01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CU-02. Iniciar sesión</w:t>
            </w:r>
          </w:p>
        </w:tc>
        <w:tc>
          <w:tcPr>
            <w:tcW w:type="dxa" w:w="2880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RF-02</w:t>
            </w:r>
          </w:p>
        </w:tc>
      </w:tr>
      <w:tr>
        <w:trPr>
          <w:cantSplit/>
        </w:trPr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20"/>
              </w:rPr>
              <w:t>CU-03. Iniciar chat privado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20"/>
              </w:rPr>
              <w:t>RF-04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CU-04. Consultar conversaciones</w:t>
            </w:r>
          </w:p>
        </w:tc>
        <w:tc>
          <w:tcPr>
            <w:tcW w:type="dxa" w:w="2880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RF-07</w:t>
            </w:r>
          </w:p>
        </w:tc>
      </w:tr>
      <w:tr>
        <w:trPr>
          <w:cantSplit/>
        </w:trPr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20"/>
              </w:rPr>
              <w:t>CU-05. Enviar mensaje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20"/>
              </w:rPr>
              <w:t>RF-05, RF-03, RF-09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CU-06. Recibir mensajes</w:t>
            </w:r>
          </w:p>
        </w:tc>
        <w:tc>
          <w:tcPr>
            <w:tcW w:type="dxa" w:w="2880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RF-06, RF-03, RF-09</w:t>
            </w:r>
          </w:p>
        </w:tc>
      </w:tr>
      <w:tr>
        <w:trPr>
          <w:cantSplit/>
        </w:trPr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20"/>
              </w:rPr>
              <w:t>CU-07. Consultar historial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20"/>
              </w:rPr>
              <w:t>RF-08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CU-08. Cerrar sesión</w:t>
            </w:r>
          </w:p>
        </w:tc>
        <w:tc>
          <w:tcPr>
            <w:tcW w:type="dxa" w:w="2880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RF-02</w:t>
            </w:r>
          </w:p>
        </w:tc>
      </w:tr>
    </w:tbl>
    <w:p>
      <w:pPr>
        <w:pStyle w:val="Heading1"/>
      </w:pPr>
      <w:r>
        <w:t>Descripción de los casos de uso</w:t>
      </w:r>
    </w:p>
    <w:p>
      <w:r>
        <w:t>El inicio de sesión es una condición previa para utilizar las conversaciones. Los permisos se comprueban al consultar o enviar mensajes. La búsqueda exacta del destinatario forma parte de «Iniciar chat privado».</w:t>
      </w:r>
    </w:p>
    <w:p>
      <w:pPr>
        <w:pStyle w:val="Heading2"/>
      </w:pPr>
      <w:r>
        <w:t>CU 01 Registrarse</w:t>
      </w:r>
    </w:p>
    <w:p>
      <w:r>
        <w:t>Condición previa: La persona dispone de acceso a la web y todavía no tiene una cuenta.</w:t>
      </w:r>
    </w:p>
    <w:p>
      <w:r>
        <w:t>Flujo principal: Ingresa su nombre completo, código de estudiante, nombre de usuario y contraseña. El sistema valida los datos y crea la cuenta.</w:t>
      </w:r>
    </w:p>
    <w:p>
      <w:r>
        <w:t>Resultado: La cuenta queda registrada. La contraseña se almacena mediante un hash seguro.</w:t>
      </w:r>
    </w:p>
    <w:p>
      <w:r>
        <w:t>Regla o situación alternativa: Si faltan datos o los identificadores están ocupados o son ambiguos, se informa el problema y la cuenta no se crea.</w:t>
      </w:r>
    </w:p>
    <w:p>
      <w:pPr>
        <w:pStyle w:val="Heading2"/>
      </w:pPr>
      <w:r>
        <w:t>CU 02 Iniciar sesión</w:t>
      </w:r>
    </w:p>
    <w:p>
      <w:r>
        <w:t>Condición previa: La persona tiene una cuenta registrada.</w:t>
      </w:r>
    </w:p>
    <w:p>
      <w:r>
        <w:t>Flujo principal: Ingresa su nombre de usuario o su código de estudiante, junto con la contraseña. El sistema comprueba las credenciales y permite el acceso.</w:t>
      </w:r>
    </w:p>
    <w:p>
      <w:r>
        <w:t>Resultado: La persona accede a sus conversaciones.</w:t>
      </w:r>
    </w:p>
    <w:p>
      <w:r>
        <w:t>Regla o situación alternativa: Si las credenciales son incorrectas o no hay conexión con el servicio, se informa el problema y no se inicia sesión.</w:t>
      </w:r>
    </w:p>
    <w:p>
      <w:pPr>
        <w:pStyle w:val="Heading2"/>
      </w:pPr>
      <w:r>
        <w:t>CU 03 Iniciar chat privado</w:t>
      </w:r>
    </w:p>
    <w:p>
      <w:r>
        <w:t>Condición previa: La persona ha iniciado sesión y conoce el nombre de usuario exacto del destinatario.</w:t>
      </w:r>
    </w:p>
    <w:p>
      <w:r>
        <w:t>Flujo principal: Busca el nombre de usuario exacto de otra persona registrada, selecciona el resultado y abre la conversación privada compartida. Si ya existe un chat entre ambas personas, se utiliza ese mismo chat.</w:t>
      </w:r>
    </w:p>
    <w:p>
      <w:r>
        <w:t>Resultado: Los dos participantes pueden utilizar el chat; las demás cuentas no tienen acceso.</w:t>
      </w:r>
    </w:p>
    <w:p>
      <w:r>
        <w:t>Regla o situación alternativa: Si no existe una coincidencia, se informa que el usuario no fue encontrado. La búsqueda no permite acceder a conversaciones ajenas.</w:t>
      </w:r>
    </w:p>
    <w:p>
      <w:pPr>
        <w:pStyle w:val="Heading2"/>
      </w:pPr>
      <w:r>
        <w:t>CU 04 Consultar conversaciones</w:t>
      </w:r>
    </w:p>
    <w:p>
      <w:r>
        <w:t>Condición previa: La persona ha iniciado sesión.</w:t>
      </w:r>
    </w:p>
    <w:p>
      <w:r>
        <w:t>Flujo principal: Consulta la lista de sus conversaciones y selecciona una para abrirla.</w:t>
      </w:r>
    </w:p>
    <w:p>
      <w:r>
        <w:t>Resultado: Se muestra la conversación seleccionada, identificada por el nombre de usuario del otro participante.</w:t>
      </w:r>
    </w:p>
    <w:p>
      <w:r>
        <w:t>Regla o situación alternativa: Si todavía no tiene conversaciones, se muestra la lista vacía. Un intento de abrir un chat ajeno se rechaza.</w:t>
      </w:r>
    </w:p>
    <w:p>
      <w:pPr>
        <w:pStyle w:val="Heading2"/>
      </w:pPr>
      <w:r>
        <w:t>CU 05 Enviar mensaje</w:t>
      </w:r>
    </w:p>
    <w:p>
      <w:r>
        <w:t>Condición previa: La persona ha iniciado sesión, participa en el chat abierto y tiene conexión con el servicio.</w:t>
      </w:r>
    </w:p>
    <w:p>
      <w:r>
        <w:t>Flujo principal: Escribe un texto de hasta 1000 caracteres y lo envía. El sistema comprueba los permisos y el contenido, guarda el mensaje y lo distribuye a los participantes conectados.</w:t>
      </w:r>
    </w:p>
    <w:p>
      <w:r>
        <w:t>Resultado: El mensaje queda conservado en el historial e identificado con el nombre de usuario del emisor.</w:t>
      </w:r>
    </w:p>
    <w:p>
      <w:r>
        <w:t>Regla o situación alternativa: Un texto vacío, formado solo por espacios o superior al límite se rechaza. Si falla el envío, se informa el fallo, se conserva el texto mientras la página siga abierta y no se presenta como confirmado. El reintento se realiza mediante un botón y no duplica un mensaje ya guardado.</w:t>
      </w:r>
    </w:p>
    <w:p>
      <w:pPr>
        <w:pStyle w:val="Heading2"/>
      </w:pPr>
      <w:r>
        <w:t>CU 06 Recibir mensajes</w:t>
      </w:r>
    </w:p>
    <w:p>
      <w:r>
        <w:t>Condición previa: La persona ha iniciado sesión, participa en el chat y está conectada para recibir sus actualizaciones.</w:t>
      </w:r>
    </w:p>
    <w:p>
      <w:r>
        <w:t>Flujo principal: Cuando llega un mensaje nuevo, la aplicación lo muestra en la conversación sin recargar la página e indica el nombre de usuario del emisor.</w:t>
      </w:r>
    </w:p>
    <w:p>
      <w:r>
        <w:t>Resultado: Los participantes conectados visualizan los mensajes nuevos de su conversación.</w:t>
      </w:r>
    </w:p>
    <w:p>
      <w:r>
        <w:t>Regla o situación alternativa: Si se pierde la conexión, se informa el estado. Los mensajes conservados podrán consultarse al recuperar el acceso.</w:t>
      </w:r>
    </w:p>
    <w:p>
      <w:pPr>
        <w:pStyle w:val="Heading2"/>
      </w:pPr>
      <w:r>
        <w:t>CU 07 Consultar historial</w:t>
      </w:r>
    </w:p>
    <w:p>
      <w:r>
        <w:t>Condición previa: La persona ha iniciado sesión y participa en la conversación.</w:t>
      </w:r>
    </w:p>
    <w:p>
      <w:r>
        <w:t>Flujo principal: Abre una conversación y consulta sus mensajes anteriores, incluidos los recibidos mientras estuvo ausente.</w:t>
      </w:r>
    </w:p>
    <w:p>
      <w:r>
        <w:t>Resultado: Se muestra el historial conservado de ese chat, sin duplicar los mensajes guardados.</w:t>
      </w:r>
    </w:p>
    <w:p>
      <w:r>
        <w:t>Regla o situación alternativa: Si aún no hay mensajes, se muestra la conversación vacía. Si falla la consulta, se informa el problema; no se elimina el historial.</w:t>
      </w:r>
    </w:p>
    <w:p>
      <w:pPr>
        <w:pStyle w:val="Heading2"/>
      </w:pPr>
      <w:r>
        <w:t>CU 08 Cerrar sesión</w:t>
      </w:r>
    </w:p>
    <w:p>
      <w:r>
        <w:t>Condición previa: La persona tiene una sesión iniciada.</w:t>
      </w:r>
    </w:p>
    <w:p>
      <w:r>
        <w:t>Flujo principal: Selecciona la opción de cerrar sesión y la aplicación termina el acceso de esa sesión.</w:t>
      </w:r>
    </w:p>
    <w:p>
      <w:r>
        <w:t>Resultado: Para volver a consultar las conversaciones deberá iniciar sesión de nuevo. Los mensajes se conservan.</w:t>
      </w:r>
    </w:p>
    <w:p>
      <w:r>
        <w:t>Regla o situación alternativa: Salir de la cuenta no permite editar ni borrar mensajes.</w:t>
      </w:r>
    </w:p>
    <w:p>
      <w:pPr>
        <w:pStyle w:val="Heading1"/>
      </w:pPr>
      <w:r>
        <w:t>Reglas comunes</w:t>
      </w:r>
    </w:p>
    <w:p>
      <w:pPr>
        <w:pStyle w:val="ListBullet"/>
      </w:pPr>
      <w:r>
        <w:t>Los mensajes y las conversaciones identifican a las personas mediante su nombre de usuario.</w:t>
      </w:r>
    </w:p>
    <w:p>
      <w:pPr>
        <w:pStyle w:val="ListBullet"/>
      </w:pPr>
      <w:r>
        <w:t>Cada participante accede únicamente a sus propias conversaciones.</w:t>
      </w:r>
    </w:p>
    <w:p>
      <w:pPr>
        <w:pStyle w:val="ListBullet"/>
      </w:pPr>
      <w:r>
        <w:t>El historial se conserva sin borrado automático y no se permiten la edición ni el borrado de mensajes.</w:t>
      </w:r>
    </w:p>
    <w:p>
      <w:pPr>
        <w:pStyle w:val="ListBullet"/>
      </w:pPr>
      <w:r>
        <w:t>La recepción en directo requiere conexión. Los mensajes conservados durante una ausencia se recuperan al consultar el historial.</w:t>
      </w:r>
    </w:p>
    <w:p>
      <w:pPr>
        <w:pStyle w:val="Heading1"/>
      </w:pPr>
      <w:r>
        <w:t>Referencia del formato</w:t>
      </w:r>
    </w:p>
    <w:p>
      <w:r>
        <w:t>El archivo Draw.io contiene figuras y conectores editables en XML. La imagen SVG permite consultar el diagrama desde el navegador. Véase la documentación del formato XML de Draw.io.</w:t>
      </w:r>
    </w:p>
    <w:p>
      <w:pPr>
        <w:pStyle w:val="Heading1"/>
      </w:pPr>
      <w:r>
        <w:t>Consideraciones técnicas complementarias</w:t>
      </w:r>
    </w:p>
    <w:p>
      <w:pPr>
        <w:spacing w:after="100"/>
      </w:pPr>
      <w:r>
        <w:rPr>
          <w:b/>
        </w:rPr>
        <w:t xml:space="preserve">Condiciones de ejecución. </w:t>
      </w:r>
      <w:r>
        <w:t>Los casos que consultan o modifican conversaciones requieren una sesión vigente y verificación de pertenencia. Si la autenticación o la autorización falla, el servidor rechaza la operación antes de acceder al contenido.</w:t>
      </w:r>
    </w:p>
    <w:p>
      <w:pPr>
        <w:spacing w:after="100"/>
      </w:pPr>
      <w:r>
        <w:rPr>
          <w:b/>
        </w:rPr>
        <w:t xml:space="preserve">Identidad del caso. </w:t>
      </w:r>
      <w:r>
        <w:t>Los identificadores CU mantienen su correspondencia con los requisitos RF. Las variantes de fallo, como conexión interrumpida o destinatario inexistente, se revisarán durante la implementación.</w:t>
      </w:r>
    </w:p>
    <w:p>
      <w:pPr>
        <w:pStyle w:val="Heading1"/>
      </w:pPr>
      <w:r>
        <w:t>Equipo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20" w:type="dxa"/>
          <w:right w:w="120" w:type="dxa"/>
        </w:tblCellMar>
      </w:tblPr>
      <w:tblGrid>
        <w:gridCol w:w="3816"/>
        <w:gridCol w:w="1008"/>
        <w:gridCol w:w="3816"/>
        <w:gridCol w:w="1008"/>
      </w:tblGrid>
      <w:tr>
        <w:trPr>
          <w:tblHeader w:val="true"/>
        </w:trPr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Apaza Quispe Antonio Vicente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236876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Arias Ramirez Alex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236104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Chura Chambilla Raul Cristian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236567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Escobedo Arapa Kenyi Blanca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236171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Mamani Pari Yimmy Jonathan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237317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Quispe Ramos Daniel Jhosimar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236568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Roque Mamani Vidman Ruis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236232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Vidal Fuentes Jordy Anthony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236535</w:t>
            </w:r>
          </w:p>
        </w:tc>
      </w:tr>
    </w:tbl>
    <w:p>
      <w:pPr>
        <w:pStyle w:val="Heading1"/>
      </w:pPr>
      <w:r>
        <w:t>Anexo gráfico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46869" cy="5212079"/>
            <wp:docPr id="3" name="Picture 3" descr="Un usuario del chat se relaciona con los ocho casos de uso de AzChat: registrarse, iniciar sesión, iniciar chat privado, consultar conversaciones, enviar mensaje, recibir mensajes, consultar historial y cerrar ses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Modelo_de_casos_de_uso__Casos_de_uso_Az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6869" cy="5212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 rectángulo delimita AzChat. Cada óvalo representa un caso de uso y cada línea indica la participación del actor. Los códigos identifican los casos; no establecen un orden obligatorio.</w:t>
      </w:r>
    </w:p>
    <w:sectPr w:rsidR="00FC693F" w:rsidRPr="0006063C" w:rsidSect="00034616">
      <w:footerReference w:type="default" r:id="rId11"/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AzChat · Planificación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P4 Modelo de casos de uso</dc:title>
  <dc:subject>Planificación técnica de la aplicación web AzChat</dc:subject>
  <dc:creator>Equipo del proyecto AzChat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