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b/>
          <w:sz w:val="18"/>
        </w:rPr>
        <w:drawing>
          <wp:inline xmlns:a="http://schemas.openxmlformats.org/drawingml/2006/main" xmlns:pic="http://schemas.openxmlformats.org/drawingml/2006/picture">
            <wp:extent cx="566928" cy="612895"/>
            <wp:docPr id="1" name="Picture 1" descr="Logo de la UNAP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una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" cy="61289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  <w:sz w:val="18"/>
        </w:rPr>
        <w:t xml:space="preserve">      Universidad Nacional del Altiplano     AzChat      </w:t>
      </w:r>
      <w:r>
        <w:rPr>
          <w:b/>
          <w:sz w:val="18"/>
        </w:rPr>
        <w:drawing>
          <wp:inline xmlns:a="http://schemas.openxmlformats.org/drawingml/2006/main" xmlns:pic="http://schemas.openxmlformats.org/drawingml/2006/picture">
            <wp:extent cx="566928" cy="566928"/>
            <wp:docPr id="2" name="Picture 2" descr="Logo de AzCha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azcha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" cy="5669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t>P9 Arquitectura y capas</w:t>
      </w:r>
    </w:p>
    <w:p>
      <w:pPr>
        <w:spacing w:after="240"/>
      </w:pPr>
      <w:r>
        <w:rPr>
          <w:i/>
          <w:sz w:val="20"/>
        </w:rPr>
        <w:t>Proyecto AzChat  |  Planificación técnica  |  Metodología Ágil</w:t>
      </w:r>
    </w:p>
    <w:p>
      <w:pPr>
        <w:pStyle w:val="Heading1"/>
      </w:pPr>
      <w:r>
        <w:t>Arquitectura elegida</w:t>
      </w:r>
    </w:p>
    <w:p>
      <w:r>
        <w:t>AzChat utiliza una arquitectura cliente–servidor con una base de datos relacional. La primera versión tendrá una aplicación Node.js en Render y una base PostgreSQL en Supabase. El mismo servidor entrega la web y atiende su acceso y mensajería.</w:t>
      </w:r>
    </w:p>
    <w:p>
      <w:r>
        <w:t>Esta organización mantiene una única dirección para la aplicación y evita separar el alojamiento de la página del servidor. El diseño se orienta a una demostración gratuita, con crecimiento inicial de 4 a 30 usuarios conectados.</w:t>
      </w:r>
    </w:p>
    <w:p>
      <w:pPr>
        <w:pStyle w:val="Heading1"/>
      </w:pPr>
      <w:r>
        <w:t>Diagrama de arquitectura</w:t>
      </w:r>
    </w:p>
    <w:p>
      <w:r>
        <w:t>El modelo correspondiente se presenta en el anexo gráfico.</w:t>
      </w:r>
    </w:p>
    <w:p>
      <w:pPr>
        <w:pStyle w:val="Heading1"/>
      </w:pPr>
      <w:r>
        <w:t>Capas del sistema</w:t>
      </w:r>
    </w:p>
    <w:p>
      <w:pPr>
        <w:keepNext/>
        <w:spacing w:after="100"/>
      </w:pPr>
      <w:r>
        <w:rPr>
          <w:i/>
        </w:rPr>
        <w:t>Separación de responsabilidades</w:t>
      </w:r>
    </w:p>
    <w:p>
      <w:pPr>
        <w:spacing w:after="100"/>
      </w:pPr>
      <w:r>
        <w:rPr>
          <w:b/>
        </w:rPr>
        <w:t xml:space="preserve">Presentación. </w:t>
      </w:r>
      <w:r>
        <w:t>HTML, CSS y JavaScript en el navegador. Muestra campos, conversaciones y mensajes. El propio servicio de Render entrega estos archivos, de modo que la página y la API comparten el mismo origen.</w:t>
      </w:r>
    </w:p>
    <w:p>
      <w:pPr>
        <w:spacing w:after="100"/>
      </w:pPr>
      <w:r>
        <w:rPr>
          <w:b/>
        </w:rPr>
        <w:t xml:space="preserve">Aplicación y comunicación. </w:t>
      </w:r>
      <w:r>
        <w:t>Node.js con Express, ServicioAcceso y ServicioChat. Las peticiones HTTPS registran, verifican acceso, consultan y guardan. Socket.IO distribuye las actualizaciones de mensajes ya conservados.</w:t>
      </w:r>
    </w:p>
    <w:p>
      <w:pPr>
        <w:spacing w:after="100"/>
      </w:pPr>
      <w:r>
        <w:rPr>
          <w:b/>
        </w:rPr>
        <w:t xml:space="preserve">Persistencia. </w:t>
      </w:r>
      <w:r>
        <w:t>PostgreSQL administrado en Supabase. Conserva estudiantes, conversaciones, mensajes y los registros técnicos de sesión. El servidor accede mediante el controlador pg; el navegador no se conecta a la base.</w:t>
      </w:r>
    </w:p>
    <w:p>
      <w:pPr>
        <w:pStyle w:val="Heading1"/>
      </w:pPr>
      <w:r>
        <w:t>Tecnologías mínimas previstas</w:t>
      </w:r>
    </w:p>
    <w:p>
      <w:pPr>
        <w:keepNext/>
        <w:spacing w:after="100"/>
      </w:pPr>
      <w:r>
        <w:rPr>
          <w:i/>
        </w:rPr>
        <w:t>Herramientas y finalidad</w:t>
      </w:r>
    </w:p>
    <w:p>
      <w:pPr>
        <w:spacing w:after="100"/>
      </w:pPr>
      <w:r>
        <w:rPr>
          <w:b/>
        </w:rPr>
        <w:t xml:space="preserve">HTML, CSS y JavaScript. </w:t>
      </w:r>
      <w:r>
        <w:t>Interfaz web sin un framework de componentes ni un paso de compilación obligatorio.</w:t>
      </w:r>
    </w:p>
    <w:p>
      <w:pPr>
        <w:spacing w:after="100"/>
      </w:pPr>
      <w:r>
        <w:rPr>
          <w:b/>
        </w:rPr>
        <w:t xml:space="preserve">Node.js y Express. </w:t>
      </w:r>
      <w:r>
        <w:t>Un solo servidor entrega la página y ofrece las peticiones de acceso y chat.</w:t>
      </w:r>
    </w:p>
    <w:p>
      <w:pPr>
        <w:spacing w:after="100"/>
      </w:pPr>
      <w:r>
        <w:rPr>
          <w:b/>
        </w:rPr>
        <w:t xml:space="preserve">Socket.IO. </w:t>
      </w:r>
      <w:r>
        <w:t>Canal de actualizaciones y reconexión. La aplicación no utiliza este canal para poner en cola los envíos pendientes.</w:t>
      </w:r>
    </w:p>
    <w:p>
      <w:pPr>
        <w:spacing w:after="100"/>
      </w:pPr>
      <w:r>
        <w:rPr>
          <w:b/>
        </w:rPr>
        <w:t xml:space="preserve">PostgreSQL y pg. </w:t>
      </w:r>
      <w:r>
        <w:t>Historial persistente, consultas con parámetros, relaciones y restricciones que impiden duplicar parejas o intentos de envío.</w:t>
      </w:r>
    </w:p>
    <w:p>
      <w:pPr>
        <w:spacing w:after="100"/>
      </w:pPr>
      <w:r>
        <w:rPr>
          <w:b/>
        </w:rPr>
        <w:t xml:space="preserve">express-session y connect-pg-simple. </w:t>
      </w:r>
      <w:r>
        <w:t>Sesión compartida por las peticiones y las conexiones; almacenamiento en PostgreSQL con vencimiento de 8 horas.</w:t>
      </w:r>
    </w:p>
    <w:p>
      <w:pPr>
        <w:spacing w:after="100"/>
      </w:pPr>
      <w:r>
        <w:rPr>
          <w:b/>
        </w:rPr>
        <w:t xml:space="preserve">argon2. </w:t>
      </w:r>
      <w:r>
        <w:t>Creación y comprobación de hashes Argon2id de contraseñas.</w:t>
      </w:r>
    </w:p>
    <w:p>
      <w:r>
        <w:t>Se utilizará una versión LTS de Node.js compatible con las bibliotecas al comenzar la construcción. Las dependencias se fijarán en el proyecto y su archivo de bloqueo. El diseño no requiere un ORM ni servicios separados por cada función.</w:t>
      </w:r>
    </w:p>
    <w:p>
      <w:pPr>
        <w:pStyle w:val="Heading1"/>
      </w:pPr>
      <w:r>
        <w:t>Ingreso sin correo ni teléfono</w:t>
      </w:r>
    </w:p>
    <w:p>
      <w:r>
        <w:t>El servidor verificará el nombre de usuario o código y la contraseña mediante ServicioAcceso. Supabase se utilizará como PostgreSQL administrado. Su inicio de sesión con contraseña documentado se basa en correo o teléfono; ese flujo de Supabase Auth no forma parte de esta arquitectura.</w:t>
      </w:r>
    </w:p>
    <w:p>
      <w:r>
        <w:t>La sesión tendrá una duración absoluta de 8 horas desde el ingreso. Se guardará en la misma base para no depender de la memoria del proceso. El servidor verificará su vigencia para las consultas y al establecer el canal en directo, y lo desconectará al vencer o cerrar sesión.</w:t>
      </w:r>
    </w:p>
    <w:p>
      <w:pPr>
        <w:pStyle w:val="Heading1"/>
      </w:pPr>
      <w:r>
        <w:t>Recorrido de un mensaje</w:t>
      </w:r>
    </w:p>
    <w:p>
      <w:pPr>
        <w:pStyle w:val="ListNumber"/>
      </w:pPr>
      <w:r>
        <w:t>El navegador envía una petición HTTPS con la conversación, el texto y el identificador del intento.</w:t>
      </w:r>
    </w:p>
    <w:p>
      <w:pPr>
        <w:pStyle w:val="ListNumber"/>
      </w:pPr>
      <w:r>
        <w:t>El servicio verifica la sesión, la participación en el chat y el contenido; obtiene el emisor del acceso verificado.</w:t>
      </w:r>
    </w:p>
    <w:p>
      <w:pPr>
        <w:pStyle w:val="ListNumber"/>
      </w:pPr>
      <w:r>
        <w:t>PostgreSQL conserva el mensaje o reconoce que ese mismo intento ya está guardado. Un intento reutilizado con otro contenido se rechaza.</w:t>
      </w:r>
    </w:p>
    <w:p>
      <w:pPr>
        <w:pStyle w:val="ListNumber"/>
      </w:pPr>
      <w:r>
        <w:t>El servidor devuelve el registro conservado y notifica a los dos usuarios mediante canales internos de Socket.IO.</w:t>
      </w:r>
    </w:p>
    <w:p>
      <w:pPr>
        <w:pStyle w:val="ListNumber"/>
      </w:pPr>
      <w:r>
        <w:t>Los navegadores muestran el mensaje una sola vez. La reconexión vuelve a consultar el historial, sin reenviar textos pendientes automáticamente.</w:t>
      </w:r>
    </w:p>
    <w:p>
      <w:pPr>
        <w:pStyle w:val="Heading1"/>
      </w:pPr>
      <w:r>
        <w:t>Acceso a la base y protección de datos</w:t>
      </w:r>
    </w:p>
    <w:p>
      <w:pPr>
        <w:pStyle w:val="ListBullet"/>
      </w:pPr>
      <w:r>
        <w:t>La conexión PostgreSQL se realizará con TLS y validación del certificado. La cadena se obtendrá del panel del proyecto; no se inventarán el host ni las credenciales.</w:t>
      </w:r>
    </w:p>
    <w:p>
      <w:pPr>
        <w:pStyle w:val="ListBullet"/>
      </w:pPr>
      <w:r>
        <w:t>Se utilizará el pooler (intermediario de conexiones) en modo sesión de Supabase cuando el alojamiento requiera acceso IPv4. La aplicación compartirá un grupo inicial de hasta 5 conexiones, incluidas las usadas por el almacén de sesiones.</w:t>
      </w:r>
    </w:p>
    <w:p>
      <w:pPr>
        <w:pStyle w:val="ListBullet"/>
      </w:pPr>
      <w:r>
        <w:t>Las tablas de la aplicación y las sesiones se ubicarán en un esquema privado, azchat, sin exponerlo por la Data API. El rol de la aplicación tendrá únicamente los permisos necesarios.</w:t>
      </w:r>
    </w:p>
    <w:p>
      <w:pPr>
        <w:pStyle w:val="ListBullet"/>
      </w:pPr>
      <w:r>
        <w:t>Las reglas de acceso se aplicarán en el servidor antes de cada operación. El servicio no confiará en un emisor ni en un canal privado elegido por el navegador.</w:t>
      </w:r>
    </w:p>
    <w:p>
      <w:pPr>
        <w:pStyle w:val="ListBullet"/>
      </w:pPr>
      <w:r>
        <w:t>Los canales internos se asignarán por el usuario y la sesión verificados. Las conexiones de una sesión se desconectarán al salir y al cumplirse sus 8 horas.</w:t>
      </w:r>
    </w:p>
    <w:p>
      <w:pPr>
        <w:pStyle w:val="ListBullet"/>
      </w:pPr>
      <w:r>
        <w:t>Las peticiones de escritura y las conexiones en directo se limitarán al origen de la aplicación. La cookie segura no sustituye la comprobación del origen ni de los permisos.</w:t>
      </w:r>
    </w:p>
    <w:p>
      <w:pPr>
        <w:pStyle w:val="ListBullet"/>
      </w:pPr>
      <w:r>
        <w:t>Las contraseñas se procesarán con una biblioteca de hash y se limitarán los intentos de acceso. Las respuestas no incluirán hashes, códigos ni nombres completos de otras cuentas.</w:t>
      </w:r>
    </w:p>
    <w:p>
      <w:pPr>
        <w:pStyle w:val="Heading1"/>
      </w:pPr>
      <w:r>
        <w:t>Configuración prevista</w:t>
      </w:r>
    </w:p>
    <w:p>
      <w:pPr>
        <w:keepNext/>
        <w:spacing w:after="100"/>
      </w:pPr>
      <w:r>
        <w:rPr>
          <w:i/>
        </w:rPr>
        <w:t>Valores de configuración de la construcción</w:t>
      </w:r>
    </w:p>
    <w:p>
      <w:pPr>
        <w:spacing w:after="100"/>
      </w:pPr>
      <w:r>
        <w:rPr>
          <w:b/>
        </w:rPr>
        <w:t xml:space="preserve">DATABASE_URL. </w:t>
      </w:r>
      <w:r>
        <w:t>Credencial secreta de conexión PostgreSQL, disponible únicamente en el servidor.</w:t>
      </w:r>
    </w:p>
    <w:p>
      <w:pPr>
        <w:spacing w:after="100"/>
      </w:pPr>
      <w:r>
        <w:rPr>
          <w:b/>
        </w:rPr>
        <w:t xml:space="preserve">SESSION_SECRET. </w:t>
      </w:r>
      <w:r>
        <w:t>Secreto del servidor para firmar el identificador de sesión. No se publica en GitHub ni en la web.</w:t>
      </w:r>
    </w:p>
    <w:p>
      <w:pPr>
        <w:spacing w:after="100"/>
      </w:pPr>
      <w:r>
        <w:rPr>
          <w:b/>
        </w:rPr>
        <w:t xml:space="preserve">APP_URL. </w:t>
      </w:r>
      <w:r>
        <w:t>Origen HTTPS permitido de la aplicación en Render. Se usa para verificar las peticiones y conexiones.</w:t>
      </w:r>
    </w:p>
    <w:p>
      <w:pPr>
        <w:spacing w:after="100"/>
      </w:pPr>
      <w:r>
        <w:rPr>
          <w:b/>
        </w:rPr>
        <w:t xml:space="preserve">PORT. </w:t>
      </w:r>
      <w:r>
        <w:t>Puerto que proporcione el alojamiento. Node.js atenderá en la interfaz y el puerto esperados por Render.</w:t>
      </w:r>
    </w:p>
    <w:p>
      <w:pPr>
        <w:pStyle w:val="Heading1"/>
      </w:pPr>
      <w:r>
        <w:t>Modalidad gratuita y capacidad</w:t>
      </w:r>
    </w:p>
    <w:p>
      <w:r>
        <w:t>Render gratuito puede suspender el servicio tras 15 minutos sin tráfico y tardar aproximadamente un minuto en arrancar. Esa espera inicial es una condición de la demostración gratuita. El criterio CA-13 de P5 se ejecutará con el servidor activo y los 30 usuarios ya conectados; conserva la meta de hasta 3 segundos por mensaje.</w:t>
      </w:r>
    </w:p>
    <w:p>
      <w:r>
        <w:t>Los datos y las sesiones se guardarán en PostgreSQL, de modo que no dependan del disco temporal de Render. Los planes gratuitos están sujetos a las cuotas y condiciones del proveedor. La disponibilidad de los proyectos se revisará antes de la demostración.</w:t>
      </w:r>
    </w:p>
    <w:p>
      <w:r>
        <w:t>La primera versión usa una instancia del servidor. El crecimiento inicial se atenderá con consultas acotadas, índices y un ajuste de recursos según las pruebas. Antes de utilizar varias instancias deberá incorporarse una coordinación compartida de las notificaciones. Ese cambio se evaluará si la carga futura lo requiere.</w:t>
      </w:r>
    </w:p>
    <w:p>
      <w:pPr>
        <w:pStyle w:val="Heading1"/>
      </w:pPr>
      <w:r>
        <w:t>Estado del proyecto y pasos siguientes</w:t>
      </w:r>
    </w:p>
    <w:p>
      <w:r>
        <w:t>P7, P8 y P9 describen el análisis y el diseño. El sistema de chat todavía requiere construcción y pruebas. P10 presenta la interfaz, P11 define el modelo de datos y P12 organiza la implementación por entregas pequeñas.</w:t>
      </w:r>
    </w:p>
    <w:p>
      <w:pPr>
        <w:pStyle w:val="Heading1"/>
      </w:pPr>
      <w:r>
        <w:t>Referencias técnicas</w:t>
      </w:r>
    </w:p>
    <w:p>
      <w:pPr>
        <w:pStyle w:val="ListBullet"/>
      </w:pPr>
      <w:r>
        <w:t>Servicios web de Render y condiciones del servicio gratuito.</w:t>
      </w:r>
      <w:r>
        <w:t xml:space="preserve">  (</w:t>
      </w:r>
      <w:hyperlink r:id="rId12">
        <w:r>
          <w:rPr>
            <w:color w:val="194F7B"/>
            <w:u w:val="single"/>
          </w:rPr>
          <w:t>fuente 1</w:t>
        </w:r>
      </w:hyperlink>
      <w:r>
        <w:t xml:space="preserve">, </w:t>
      </w:r>
      <w:hyperlink r:id="rId13">
        <w:r>
          <w:rPr>
            <w:color w:val="194F7B"/>
            <w:u w:val="single"/>
          </w:rPr>
          <w:t>fuente 2</w:t>
        </w:r>
      </w:hyperlink>
      <w:r>
        <w:t>)</w:t>
      </w:r>
    </w:p>
    <w:p>
      <w:pPr>
        <w:pStyle w:val="ListBullet"/>
      </w:pPr>
      <w:r>
        <w:t>WebSockets en Render y autorización mediante middleware de Socket.IO.</w:t>
      </w:r>
      <w:r>
        <w:t xml:space="preserve">  (</w:t>
      </w:r>
      <w:hyperlink r:id="rId14">
        <w:r>
          <w:rPr>
            <w:color w:val="194F7B"/>
            <w:u w:val="single"/>
          </w:rPr>
          <w:t>fuente 1</w:t>
        </w:r>
      </w:hyperlink>
      <w:r>
        <w:t xml:space="preserve">, </w:t>
      </w:r>
      <w:hyperlink r:id="rId15">
        <w:r>
          <w:rPr>
            <w:color w:val="194F7B"/>
            <w:u w:val="single"/>
          </w:rPr>
          <w:t>fuente 2</w:t>
        </w:r>
      </w:hyperlink>
      <w:r>
        <w:t>)</w:t>
      </w:r>
    </w:p>
    <w:p>
      <w:pPr>
        <w:pStyle w:val="ListBullet"/>
      </w:pPr>
      <w:r>
        <w:t>Conexión a PostgreSQL en Supabase y identificadores del acceso con contraseña de Supabase Auth.</w:t>
      </w:r>
      <w:r>
        <w:t xml:space="preserve">  (</w:t>
      </w:r>
      <w:hyperlink r:id="rId16">
        <w:r>
          <w:rPr>
            <w:color w:val="194F7B"/>
            <w:u w:val="single"/>
          </w:rPr>
          <w:t>fuente 1</w:t>
        </w:r>
      </w:hyperlink>
      <w:r>
        <w:t xml:space="preserve">, </w:t>
      </w:r>
      <w:hyperlink r:id="rId17">
        <w:r>
          <w:rPr>
            <w:color w:val="194F7B"/>
            <w:u w:val="single"/>
          </w:rPr>
          <w:t>fuente 2</w:t>
        </w:r>
      </w:hyperlink>
      <w:r>
        <w:t>)</w:t>
      </w:r>
    </w:p>
    <w:p>
      <w:pPr>
        <w:pStyle w:val="ListBullet"/>
      </w:pPr>
      <w:r>
        <w:t>Gestión de sesiones de Express.</w:t>
      </w:r>
      <w:r>
        <w:t xml:space="preserve">  (</w:t>
      </w:r>
      <w:hyperlink r:id="rId18">
        <w:r>
          <w:rPr>
            <w:color w:val="194F7B"/>
            <w:u w:val="single"/>
          </w:rPr>
          <w:t>fuente</w:t>
        </w:r>
      </w:hyperlink>
      <w:r>
        <w:t>)</w:t>
      </w:r>
    </w:p>
    <w:p>
      <w:pPr>
        <w:pStyle w:val="Heading1"/>
      </w:pPr>
      <w:r>
        <w:t>Consideraciones técnicas complementarias</w:t>
      </w:r>
    </w:p>
    <w:p>
      <w:pPr>
        <w:spacing w:after="100"/>
      </w:pPr>
      <w:r>
        <w:rPr>
          <w:b/>
        </w:rPr>
        <w:t xml:space="preserve">Límites entre componentes. </w:t>
      </w:r>
      <w:r>
        <w:t>El navegador usa el origen HTTPS de la aplicación. El servidor mantiene la conexión PostgreSQL y los canales de Socket.IO; los secretos permanecen en las variables del entorno del servidor.</w:t>
      </w:r>
    </w:p>
    <w:p>
      <w:pPr>
        <w:spacing w:after="100"/>
      </w:pPr>
      <w:r>
        <w:rPr>
          <w:b/>
        </w:rPr>
        <w:t xml:space="preserve">Evolución de capacidad. </w:t>
      </w:r>
      <w:r>
        <w:t>La primera entrega emplea una instancia. Antes de distribuir el servidor entre varias instancias será necesario coordinar la entrega de eventos y repetir las pruebas de capacidad y aislamiento.</w:t>
      </w:r>
    </w:p>
    <w:p>
      <w:pPr>
        <w:pStyle w:val="Heading1"/>
      </w:pPr>
      <w:r>
        <w:t>Equipo del proyecto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120" w:type="dxa"/>
          <w:right w:w="120" w:type="dxa"/>
        </w:tblCellMar>
      </w:tblPr>
      <w:tblGrid>
        <w:gridCol w:w="3816"/>
        <w:gridCol w:w="1008"/>
        <w:gridCol w:w="3816"/>
        <w:gridCol w:w="1008"/>
      </w:tblGrid>
      <w:tr>
        <w:trPr>
          <w:tblHeader w:val="true"/>
        </w:trPr>
        <w:tc>
          <w:tcPr>
            <w:tcW w:type="dxa" w:w="3816"/>
            <w:vAlign w:val="center"/>
            <w:shd w:fill="254C68"/>
          </w:tcPr>
          <w:p>
            <w:r>
              <w:rPr>
                <w:b/>
                <w:color w:val="FFFFFF"/>
                <w:sz w:val="20"/>
              </w:rPr>
              <w:t>Integrante</w:t>
            </w:r>
          </w:p>
        </w:tc>
        <w:tc>
          <w:tcPr>
            <w:tcW w:type="dxa" w:w="1008"/>
            <w:vAlign w:val="center"/>
            <w:shd w:fill="254C68"/>
          </w:tcPr>
          <w:p>
            <w:r>
              <w:rPr>
                <w:b/>
                <w:color w:val="FFFFFF"/>
                <w:sz w:val="20"/>
              </w:rPr>
              <w:t>Código</w:t>
            </w:r>
          </w:p>
        </w:tc>
        <w:tc>
          <w:tcPr>
            <w:tcW w:type="dxa" w:w="3816"/>
            <w:vAlign w:val="center"/>
            <w:shd w:fill="254C68"/>
          </w:tcPr>
          <w:p>
            <w:r>
              <w:rPr>
                <w:b/>
                <w:color w:val="FFFFFF"/>
                <w:sz w:val="20"/>
              </w:rPr>
              <w:t>Integrante</w:t>
            </w:r>
          </w:p>
        </w:tc>
        <w:tc>
          <w:tcPr>
            <w:tcW w:type="dxa" w:w="1008"/>
            <w:vAlign w:val="center"/>
            <w:shd w:fill="254C68"/>
          </w:tcPr>
          <w:p>
            <w:r>
              <w:rPr>
                <w:b/>
                <w:color w:val="FFFFFF"/>
                <w:sz w:val="20"/>
              </w:rPr>
              <w:t>Código</w:t>
            </w:r>
          </w:p>
        </w:tc>
      </w:tr>
      <w:tr>
        <w:trPr>
          <w:cantSplit/>
        </w:trPr>
        <w:tc>
          <w:tcPr>
            <w:tcW w:type="dxa" w:w="3816"/>
            <w:vAlign w:val="center"/>
          </w:tcPr>
          <w:p>
            <w:pPr>
              <w:spacing w:after="0"/>
            </w:pPr>
            <w:r>
              <w:rPr>
                <w:sz w:val="20"/>
              </w:rPr>
              <w:t>Apaza Quispe Antonio Vicente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>
              <w:rPr>
                <w:sz w:val="20"/>
              </w:rPr>
              <w:t>236876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</w:pPr>
            <w:r>
              <w:rPr>
                <w:sz w:val="20"/>
              </w:rPr>
              <w:t>Arias Ramirez Alex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>
              <w:rPr>
                <w:sz w:val="20"/>
              </w:rPr>
              <w:t>236104</w:t>
            </w:r>
          </w:p>
        </w:tc>
      </w:tr>
      <w:tr>
        <w:trPr>
          <w:cantSplit/>
        </w:trPr>
        <w:tc>
          <w:tcPr>
            <w:tcW w:type="dxa" w:w="3816"/>
            <w:vAlign w:val="center"/>
            <w:shd w:fill="F2F6F8"/>
          </w:tcPr>
          <w:p>
            <w:pPr>
              <w:spacing w:after="0"/>
            </w:pPr>
            <w:r>
              <w:rPr>
                <w:sz w:val="20"/>
              </w:rPr>
              <w:t>Chura Chambilla Raul Cristian</w:t>
            </w:r>
          </w:p>
        </w:tc>
        <w:tc>
          <w:tcPr>
            <w:tcW w:type="dxa" w:w="1008"/>
            <w:vAlign w:val="center"/>
            <w:shd w:fill="F2F6F8"/>
          </w:tcPr>
          <w:p>
            <w:pPr>
              <w:spacing w:after="0"/>
            </w:pPr>
            <w:r>
              <w:rPr>
                <w:sz w:val="20"/>
              </w:rPr>
              <w:t>236567</w:t>
            </w:r>
          </w:p>
        </w:tc>
        <w:tc>
          <w:tcPr>
            <w:tcW w:type="dxa" w:w="3816"/>
            <w:vAlign w:val="center"/>
            <w:shd w:fill="F2F6F8"/>
          </w:tcPr>
          <w:p>
            <w:pPr>
              <w:spacing w:after="0"/>
            </w:pPr>
            <w:r>
              <w:rPr>
                <w:sz w:val="20"/>
              </w:rPr>
              <w:t>Escobedo Arapa Kenyi Blanca</w:t>
            </w:r>
          </w:p>
        </w:tc>
        <w:tc>
          <w:tcPr>
            <w:tcW w:type="dxa" w:w="1008"/>
            <w:vAlign w:val="center"/>
            <w:shd w:fill="F2F6F8"/>
          </w:tcPr>
          <w:p>
            <w:pPr>
              <w:spacing w:after="0"/>
            </w:pPr>
            <w:r>
              <w:rPr>
                <w:sz w:val="20"/>
              </w:rPr>
              <w:t>236171</w:t>
            </w:r>
          </w:p>
        </w:tc>
      </w:tr>
      <w:tr>
        <w:trPr>
          <w:cantSplit/>
        </w:trPr>
        <w:tc>
          <w:tcPr>
            <w:tcW w:type="dxa" w:w="3816"/>
            <w:vAlign w:val="center"/>
          </w:tcPr>
          <w:p>
            <w:pPr>
              <w:spacing w:after="0"/>
            </w:pPr>
            <w:r>
              <w:rPr>
                <w:sz w:val="20"/>
              </w:rPr>
              <w:t>Mamani Pari Yimmy Jonathan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>
              <w:rPr>
                <w:sz w:val="20"/>
              </w:rPr>
              <w:t>237317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</w:pPr>
            <w:r>
              <w:rPr>
                <w:sz w:val="20"/>
              </w:rPr>
              <w:t>Quispe Ramos Daniel Jhosimar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>
              <w:rPr>
                <w:sz w:val="20"/>
              </w:rPr>
              <w:t>236568</w:t>
            </w:r>
          </w:p>
        </w:tc>
      </w:tr>
      <w:tr>
        <w:trPr>
          <w:cantSplit/>
        </w:trPr>
        <w:tc>
          <w:tcPr>
            <w:tcW w:type="dxa" w:w="3816"/>
            <w:vAlign w:val="center"/>
            <w:shd w:fill="F2F6F8"/>
          </w:tcPr>
          <w:p>
            <w:pPr>
              <w:spacing w:after="0"/>
            </w:pPr>
            <w:r>
              <w:rPr>
                <w:sz w:val="20"/>
              </w:rPr>
              <w:t>Roque Mamani Vidman Ruis</w:t>
            </w:r>
          </w:p>
        </w:tc>
        <w:tc>
          <w:tcPr>
            <w:tcW w:type="dxa" w:w="1008"/>
            <w:vAlign w:val="center"/>
            <w:shd w:fill="F2F6F8"/>
          </w:tcPr>
          <w:p>
            <w:pPr>
              <w:spacing w:after="0"/>
            </w:pPr>
            <w:r>
              <w:rPr>
                <w:sz w:val="20"/>
              </w:rPr>
              <w:t>236232</w:t>
            </w:r>
          </w:p>
        </w:tc>
        <w:tc>
          <w:tcPr>
            <w:tcW w:type="dxa" w:w="3816"/>
            <w:vAlign w:val="center"/>
            <w:shd w:fill="F2F6F8"/>
          </w:tcPr>
          <w:p>
            <w:pPr>
              <w:spacing w:after="0"/>
            </w:pPr>
            <w:r>
              <w:rPr>
                <w:sz w:val="20"/>
              </w:rPr>
              <w:t>Vidal Fuentes Jordy Anthony</w:t>
            </w:r>
          </w:p>
        </w:tc>
        <w:tc>
          <w:tcPr>
            <w:tcW w:type="dxa" w:w="1008"/>
            <w:vAlign w:val="center"/>
            <w:shd w:fill="F2F6F8"/>
          </w:tcPr>
          <w:p>
            <w:pPr>
              <w:spacing w:after="0"/>
            </w:pPr>
            <w:r>
              <w:rPr>
                <w:sz w:val="20"/>
              </w:rPr>
              <w:t>236535</w:t>
            </w:r>
          </w:p>
        </w:tc>
      </w:tr>
    </w:tbl>
    <w:p>
      <w:pPr>
        <w:pStyle w:val="Heading1"/>
        <w:pageBreakBefore/>
      </w:pPr>
      <w:r>
        <w:t>Anexo gráfico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080760" cy="6904788"/>
            <wp:docPr id="3" name="Picture 3" descr="Dos navegadores se conectan mediante HTTPS y actualizaciones Socket.IO a un único servidor Node.js en Render. Solo ese servidor se conecta por TLS a PostgreSQL en Supabas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9_Arquitectura_y_capas__Arquitectura_AzChat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69047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Render aloja la aplicación y sus conexiones en directo. Supabase conserva los datos. GitHub Pages publica esta documentación; la aplicación de chat se construirá y desplegará en otra etapa.</w:t>
      </w:r>
    </w:p>
    <w:sectPr w:rsidR="00FC693F" w:rsidRPr="0006063C" w:rsidSect="00034616">
      <w:footerReference w:type="default" r:id="rId11"/>
      <w:pgSz w:w="12240" w:h="15840"/>
      <w:pgMar w:top="1037" w:right="1296" w:bottom="1037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AzChat · Planificación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4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footer" Target="footer1.xml"/><Relationship Id="rId12" Type="http://schemas.openxmlformats.org/officeDocument/2006/relationships/hyperlink" Target="https://render.com/docs/web-services" TargetMode="External"/><Relationship Id="rId13" Type="http://schemas.openxmlformats.org/officeDocument/2006/relationships/hyperlink" Target="https://render.com/docs/free" TargetMode="External"/><Relationship Id="rId14" Type="http://schemas.openxmlformats.org/officeDocument/2006/relationships/hyperlink" Target="https://render.com/docs/websocket" TargetMode="External"/><Relationship Id="rId15" Type="http://schemas.openxmlformats.org/officeDocument/2006/relationships/hyperlink" Target="https://socket.io/docs/v4/middlewares/" TargetMode="External"/><Relationship Id="rId16" Type="http://schemas.openxmlformats.org/officeDocument/2006/relationships/hyperlink" Target="https://supabase.com/docs/guides/database/connecting-to-postgres" TargetMode="External"/><Relationship Id="rId17" Type="http://schemas.openxmlformats.org/officeDocument/2006/relationships/hyperlink" Target="https://supabase.com/docs/guides/auth/passwords" TargetMode="External"/><Relationship Id="rId18" Type="http://schemas.openxmlformats.org/officeDocument/2006/relationships/hyperlink" Target="https://expressjs.com/en/resources/middleware/session/" TargetMode="External"/><Relationship Id="rId1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P9 Arquitectura y capas</dc:title>
  <dc:subject>Planificación técnica de la aplicación web AzChat</dc:subject>
  <dc:creator>Equipo del proyecto AzChat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