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eastAsia="Times New Roman"/>
          <w:b/>
          <w:sz w:val="24"/>
        </w:rPr>
        <w:t>Reações adversas na doação de sangue e o papel da enfermagem: revisão narrativa da evidência recente</w:t>
      </w:r>
    </w:p>
    <w:p>
      <w:pPr>
        <w:spacing w:line="480" w:lineRule="auto"/>
        <w:ind w:firstLine="720"/>
        <w:jc w:val="both"/>
      </w:pPr>
      <w:r>
        <w:rPr>
          <w:rFonts w:ascii="Times New Roman" w:hAnsi="Times New Roman" w:eastAsia="Times New Roman"/>
          <w:b w:val="0"/>
          <w:sz w:val="24"/>
        </w:rPr>
        <w:t>Antonio Augusto Dornelas de Andrade</w:t>
      </w:r>
    </w:p>
    <w:p>
      <w:pPr>
        <w:spacing w:line="480" w:lineRule="auto"/>
        <w:ind w:firstLine="720"/>
        <w:jc w:val="both"/>
      </w:pPr>
      <w:r>
        <w:rPr>
          <w:rFonts w:ascii="Times New Roman" w:hAnsi="Times New Roman" w:eastAsia="Times New Roman"/>
          <w:b w:val="0"/>
          <w:sz w:val="24"/>
        </w:rPr>
        <w:t>Pesquisador independente</w:t>
      </w:r>
    </w:p>
    <w:p>
      <w:pPr>
        <w:spacing w:line="480" w:lineRule="auto"/>
        <w:ind w:firstLine="720"/>
        <w:jc w:val="both"/>
      </w:pPr>
      <w:r>
        <w:rPr>
          <w:rFonts w:ascii="Times New Roman" w:hAnsi="Times New Roman" w:eastAsia="Times New Roman"/>
          <w:b w:val="0"/>
          <w:sz w:val="24"/>
        </w:rPr>
        <w:t>ORCID: https://orcid.org/0009-0001-3556-483X</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Nota do autor</w:t>
      </w:r>
      <w:r>
        <w:rPr>
          <w:rFonts w:ascii="Times New Roman" w:hAnsi="Times New Roman" w:eastAsia="Times New Roman"/>
          <w:b w:val="0"/>
          <w:sz w:val="24"/>
        </w:rPr>
      </w:r>
    </w:p>
    <w:p>
      <w:pPr>
        <w:spacing w:line="480" w:lineRule="auto"/>
        <w:ind w:firstLine="720"/>
        <w:jc w:val="both"/>
      </w:pPr>
      <w:r>
        <w:rPr>
          <w:rFonts w:ascii="Times New Roman" w:hAnsi="Times New Roman" w:eastAsia="Times New Roman"/>
          <w:b w:val="0"/>
          <w:sz w:val="24"/>
        </w:rPr>
        <w:t>Correspondência: Antonio Augusto Dornelas de Andrade, antonioandradepy@gmail.com.</w:t>
      </w:r>
    </w:p>
    <w:p>
      <w:pPr>
        <w:spacing w:line="480" w:lineRule="auto"/>
        <w:ind w:firstLine="720"/>
        <w:jc w:val="both"/>
      </w:pPr>
      <w:r>
        <w:rPr>
          <w:rFonts w:ascii="Times New Roman" w:hAnsi="Times New Roman" w:eastAsia="Times New Roman"/>
          <w:b w:val="0"/>
          <w:sz w:val="24"/>
        </w:rPr>
        <w:t>Financiamento: Esta revisão não recebeu financiamento externo específico.</w:t>
      </w:r>
    </w:p>
    <w:p>
      <w:pPr>
        <w:spacing w:line="480" w:lineRule="auto"/>
        <w:ind w:firstLine="720"/>
        <w:jc w:val="both"/>
      </w:pPr>
      <w:r>
        <w:rPr>
          <w:rFonts w:ascii="Times New Roman" w:hAnsi="Times New Roman" w:eastAsia="Times New Roman"/>
          <w:b w:val="0"/>
          <w:sz w:val="24"/>
        </w:rPr>
        <w:t>Conflitos de interesse: O autor declara não haver conflitos de interesse.</w:t>
      </w:r>
    </w:p>
    <w:p>
      <w:pPr>
        <w:spacing w:line="480" w:lineRule="auto"/>
        <w:ind w:firstLine="720"/>
        <w:jc w:val="both"/>
      </w:pPr>
      <w:r>
        <w:rPr>
          <w:rFonts w:ascii="Times New Roman" w:hAnsi="Times New Roman" w:eastAsia="Times New Roman"/>
          <w:b w:val="0"/>
          <w:sz w:val="24"/>
        </w:rPr>
        <w:t>Ética: Trata-se de revisão narrativa de literatura publicada. Não houve coleta de dados primários com participantes humanos ou animais; portanto, não se aplica aprovação por comitê de ética em pesquisa.</w:t>
      </w:r>
    </w:p>
    <w:p>
      <w:pPr>
        <w:spacing w:line="480" w:lineRule="auto"/>
        <w:jc w:val="center"/>
      </w:pPr>
      <w:r>
        <w:rPr>
          <w:rFonts w:ascii="Times New Roman" w:hAnsi="Times New Roman" w:eastAsia="Times New Roman"/>
          <w:b/>
          <w:sz w:val="24"/>
        </w:rPr>
        <w:t>Resumo</w:t>
      </w:r>
    </w:p>
    <w:p>
      <w:pPr>
        <w:spacing w:line="480" w:lineRule="auto"/>
        <w:ind w:firstLine="720"/>
        <w:jc w:val="both"/>
      </w:pPr>
      <w:r>
        <w:rPr>
          <w:rFonts w:ascii="Times New Roman" w:hAnsi="Times New Roman" w:eastAsia="Times New Roman"/>
          <w:b w:val="0"/>
          <w:sz w:val="24"/>
        </w:rPr>
        <w:t>Reações adversas em doadores de sangue, sobretudo reações vasovagais, comprometem a segurança imediata do doador e a sustentabilidade do estoque sanguíneo ao reduzir a probabilidade de retorno. Este artigo apresenta uma revisão narrativa da evidência recente (2018–2026) sobre epidemiologia e experiência das reações adversas, estratégias de prevenção e o papel da enfermagem em serviços de hemoterapia. Foram recuperados e validados artigos via CrossRef/DOI, com síntese temática sem meta-análise. A literatura indica que fatores individuais e situacionais elevam o risco de reação vasovagal; que emoções e o sentido atribuído à experiência influenciam o retorno; e que intervenções preventivas (incluindo ensaios randomizados e abordagens estratificadas por risco) podem mitigar eventos. A hemovigilância do doador oferece estrutura para registro, classificação de gravidade e melhoria contínua. Para a enfermagem, emergem funções de triagem, vigilância clínica, educação do doador, suporte emocional e documentação. Conclui-se que a integração entre prevenção baseada em evidências e processos de enfermagem fortalece a segurança e a retenção de doadores, embora permaneçam lacunas de implementação e de avaliação em contextos locais.</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Palavras-chave:</w:t>
      </w:r>
      <w:r>
        <w:rPr>
          <w:rFonts w:ascii="Times New Roman" w:hAnsi="Times New Roman" w:eastAsia="Times New Roman"/>
          <w:b w:val="0"/>
          <w:sz w:val="24"/>
        </w:rPr>
        <w:t xml:space="preserve"> doação de sangue; reação vasovagal; hemovigilância; enfermagem; segurança do doador; prevenção</w:t>
      </w:r>
    </w:p>
    <w:p>
      <w:pPr>
        <w:spacing w:line="480" w:lineRule="auto"/>
        <w:jc w:val="center"/>
      </w:pPr>
      <w:r>
        <w:rPr>
          <w:rFonts w:ascii="Times New Roman" w:hAnsi="Times New Roman" w:eastAsia="Times New Roman"/>
          <w:b/>
          <w:sz w:val="24"/>
        </w:rPr>
        <w:t>Abstract</w:t>
      </w:r>
    </w:p>
    <w:p>
      <w:pPr>
        <w:spacing w:line="480" w:lineRule="auto"/>
        <w:ind w:firstLine="720"/>
        <w:jc w:val="both"/>
      </w:pPr>
      <w:r>
        <w:rPr>
          <w:rFonts w:ascii="Times New Roman" w:hAnsi="Times New Roman" w:eastAsia="Times New Roman"/>
          <w:b w:val="0"/>
          <w:sz w:val="24"/>
        </w:rPr>
        <w:t>Adverse reactions in blood donors—especially vasovagal reactions—affect immediate donor safety and the sustainability of the blood supply by reducing return likelihood. This article presents a narrative review of recent evidence (2018–2026) on the epidemiology and lived experience of donor adverse reactions, prevention strategies, and nursing roles in transfusion services. Journal articles were retrieved and validated via CrossRef/DOI and synthesized thematically without meta-analysis. The literature indicates that individual and situational factors elevate vasovagal risk; that emotions and meaning-making shape return behavior; and that preventive interventions (including randomized trials and risk-stratified approaches) can mitigate events. Donor hemovigilance provides a framework for reporting, severity grading, and continuous improvement. Nursing contributions include screening, clinical surveillance, donor education, emotional support, and documentation. Integrating evidence-based prevention with nursing processes strengthens donor safety and retention, while implementation and local evaluation gaps remain.</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Keywords:</w:t>
      </w:r>
      <w:r>
        <w:rPr>
          <w:rFonts w:ascii="Times New Roman" w:hAnsi="Times New Roman" w:eastAsia="Times New Roman"/>
          <w:b w:val="0"/>
          <w:sz w:val="24"/>
        </w:rPr>
        <w:t xml:space="preserve"> blood donation; vasovagal reaction; hemovigilance; nursing; donor safety; prevention</w:t>
      </w:r>
    </w:p>
    <w:p>
      <w:pPr>
        <w:spacing w:line="480" w:lineRule="auto"/>
        <w:jc w:val="center"/>
      </w:pPr>
      <w:r>
        <w:rPr>
          <w:rFonts w:ascii="Times New Roman" w:hAnsi="Times New Roman" w:eastAsia="Times New Roman"/>
          <w:b/>
          <w:sz w:val="24"/>
        </w:rPr>
        <w:t>Introdução</w:t>
      </w:r>
    </w:p>
    <w:p>
      <w:pPr>
        <w:spacing w:line="480" w:lineRule="auto"/>
        <w:ind w:firstLine="720"/>
        <w:jc w:val="both"/>
      </w:pPr>
      <w:r>
        <w:rPr>
          <w:rFonts w:ascii="Times New Roman" w:hAnsi="Times New Roman" w:eastAsia="Times New Roman"/>
          <w:b w:val="0"/>
          <w:sz w:val="24"/>
        </w:rPr>
        <w:t>A doação de sangue voluntária constitui pilar dos sistemas de saúde e depende da confiança do doador na segurança do procedimento. Embora a coleta de sangue total seja, em geral, segura, eventos adversos — com destaque para a reação vasovagal — ocorrem em proporção relevante de doações e podem gerar desconforto, interrupção da coleta e impacto negativo sobre doações futuras (Hasan et al., 2020; Ibrahim et al., 2023). Em serviços de hemoterapia, a enfermagem ocupa posição estratégica na triagem, na vigilância durante e após a coleta e na educação do doador (Esplendori, 2018; Silveira &amp; Bomfim, 2022).</w:t>
      </w:r>
    </w:p>
    <w:p>
      <w:pPr>
        <w:spacing w:line="480" w:lineRule="auto"/>
        <w:ind w:firstLine="720"/>
        <w:jc w:val="both"/>
      </w:pPr>
      <w:r>
        <w:rPr>
          <w:rFonts w:ascii="Times New Roman" w:hAnsi="Times New Roman" w:eastAsia="Times New Roman"/>
          <w:b w:val="0"/>
          <w:sz w:val="24"/>
        </w:rPr>
        <w:t>A lacuna que motiva esta revisão não é a inexistência de estudos sobre reação vasovagal, e sim a necessidade de articular, em uma síntese atualizada e operacionalmente útil, três eixos frequentemente tratados de modo fragmentado: (a) determinantes e prevalência das reações; (b) prevenção e retorno do doador; e (c) implicações concretas para processos de enfermagem e hemovigilância. Estudos qualitativos mostram que a experiência da reação vasovagal envolve significados que ultrapassam o sintoma fisiológico e afetam a decisão de doar novamente (Thijsen et al., 2021). Modelos comportamentais, como o Health Action Process Approach, têm sido usados para prever intenções e retorno após a reação (Thijsen et al., 2022). Paralelamente, ensaios e propostas recentes discutem estratégias preventivas universais versus estratificadas por risco (Meher et al., 2024; Bansal &amp; Saini, 2026).</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Objetivo.</w:t>
      </w:r>
      <w:r>
        <w:rPr>
          <w:rFonts w:ascii="Times New Roman" w:hAnsi="Times New Roman" w:eastAsia="Times New Roman"/>
          <w:b w:val="0"/>
          <w:sz w:val="24"/>
        </w:rPr>
        <w:t xml:space="preserve"> Sintetizar evidências recentes sobre reações adversas em doadores de sangue (com ênfase em reações vasovagais), estratégias de prevenção e implicações para a prática de enfermagem em serviços de hemoterapia.</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Hipóteses de síntese.</w:t>
      </w:r>
      <w:r>
        <w:rPr>
          <w:rFonts w:ascii="Times New Roman" w:hAnsi="Times New Roman" w:eastAsia="Times New Roman"/>
          <w:b w:val="0"/>
          <w:sz w:val="24"/>
        </w:rPr>
      </w:r>
    </w:p>
    <w:p>
      <w:pPr>
        <w:spacing w:line="480" w:lineRule="auto"/>
        <w:ind w:firstLine="720"/>
        <w:jc w:val="both"/>
      </w:pPr>
      <w:r>
        <w:rPr>
          <w:rFonts w:ascii="Times New Roman" w:hAnsi="Times New Roman" w:eastAsia="Times New Roman"/>
          <w:b w:val="0"/>
          <w:sz w:val="24"/>
        </w:rPr>
        <w:t>1. H1 (direcional, síntese): estratégias preventivas estruturadas (hidratação, tensão muscular, abordagem emocional e estratificação de risco) associam-se a menor ocorrência ou gravidade de reações vasovagais e a maior probabilidade de retorno do doador.</w:t>
      </w:r>
    </w:p>
    <w:p>
      <w:pPr>
        <w:spacing w:line="480" w:lineRule="auto"/>
        <w:ind w:firstLine="720"/>
        <w:jc w:val="both"/>
      </w:pPr>
      <w:r>
        <w:rPr>
          <w:rFonts w:ascii="Times New Roman" w:hAnsi="Times New Roman" w:eastAsia="Times New Roman"/>
          <w:b w:val="0"/>
          <w:sz w:val="24"/>
        </w:rPr>
        <w:t>2. H2 (direcional, síntese): a integração de hemovigilância do doador com processos de enfermagem (triagem, vigilância, educação e registro) fortalece a segurança e a retenção de doadores.</w:t>
      </w:r>
    </w:p>
    <w:p>
      <w:pPr>
        <w:spacing w:line="480" w:lineRule="auto"/>
        <w:jc w:val="center"/>
      </w:pPr>
      <w:r>
        <w:rPr>
          <w:rFonts w:ascii="Times New Roman" w:hAnsi="Times New Roman" w:eastAsia="Times New Roman"/>
          <w:b/>
          <w:sz w:val="24"/>
        </w:rPr>
        <w:t>Método</w:t>
      </w:r>
    </w:p>
    <w:p>
      <w:pPr>
        <w:spacing w:line="480" w:lineRule="auto"/>
        <w:jc w:val="left"/>
      </w:pPr>
      <w:r>
        <w:rPr>
          <w:rFonts w:ascii="Times New Roman" w:hAnsi="Times New Roman" w:eastAsia="Times New Roman"/>
          <w:b/>
          <w:sz w:val="24"/>
        </w:rPr>
        <w:t>Delineamento</w:t>
      </w:r>
    </w:p>
    <w:p>
      <w:pPr>
        <w:spacing w:line="480" w:lineRule="auto"/>
        <w:ind w:firstLine="720"/>
        <w:jc w:val="both"/>
      </w:pPr>
      <w:r>
        <w:rPr>
          <w:rFonts w:ascii="Times New Roman" w:hAnsi="Times New Roman" w:eastAsia="Times New Roman"/>
          <w:b w:val="0"/>
          <w:sz w:val="24"/>
        </w:rPr>
        <w:t>Trata-se de revisão narrativa da literatura (síntese qualitativa de evidências). A escolha da revisão narrativa justifica-se pelo objetivo de integrar evidências heterogêneas (epidemiológicas, qualitativas, ensaios e discussões de hemovigilância) e extrair implicações para a prática de enfermagem, sem pretender estimativa quantitativa única de efeito.</w:t>
      </w:r>
    </w:p>
    <w:p>
      <w:pPr>
        <w:spacing w:line="480" w:lineRule="auto"/>
        <w:jc w:val="left"/>
      </w:pPr>
      <w:r>
        <w:rPr>
          <w:rFonts w:ascii="Times New Roman" w:hAnsi="Times New Roman" w:eastAsia="Times New Roman"/>
          <w:b/>
          <w:sz w:val="24"/>
        </w:rPr>
        <w:t>Corpus e critérios</w:t>
      </w:r>
    </w:p>
    <w:p>
      <w:pPr>
        <w:spacing w:line="480" w:lineRule="auto"/>
        <w:ind w:firstLine="720"/>
        <w:jc w:val="both"/>
      </w:pPr>
      <w:r>
        <w:rPr>
          <w:rFonts w:ascii="Times New Roman" w:hAnsi="Times New Roman" w:eastAsia="Times New Roman"/>
          <w:b w:val="0"/>
          <w:sz w:val="24"/>
        </w:rPr>
        <w:t>Corpus de artigos indexados (2018–2026) obtidos e validados via CrossRef, priorizando periódicos de medicina transfusional, hemovigilância e enfermagem. Foram priorizados artigos com DOI localizável, publicados preferencialmente entre 2018 e 2026, em periódicos de medicina transfusional, hemovigilância ou enfermagem. Excluíram-se, na etapa de curadoria, itens claramente fora de escopo (por exemplo, reações transfusionais em receptores quando o foco do relato não era o doador) e registros sem metadados mínimos recuperáveis.</w:t>
      </w:r>
    </w:p>
    <w:p>
      <w:pPr>
        <w:spacing w:line="480" w:lineRule="auto"/>
        <w:jc w:val="left"/>
      </w:pPr>
      <w:r>
        <w:rPr>
          <w:rFonts w:ascii="Times New Roman" w:hAnsi="Times New Roman" w:eastAsia="Times New Roman"/>
          <w:b/>
          <w:sz w:val="24"/>
        </w:rPr>
        <w:t>Instrumentos e procedimentos</w:t>
      </w:r>
    </w:p>
    <w:p>
      <w:pPr>
        <w:spacing w:line="480" w:lineRule="auto"/>
        <w:ind w:firstLine="720"/>
        <w:jc w:val="both"/>
      </w:pPr>
      <w:r>
        <w:rPr>
          <w:rFonts w:ascii="Times New Roman" w:hAnsi="Times New Roman" w:eastAsia="Times New Roman"/>
          <w:b w:val="0"/>
          <w:sz w:val="24"/>
        </w:rPr>
        <w:t>Instrumentos utilizados: Protocolo de busca narrativa em CrossRef (DOI.org); Extração estruturada de metadados bibliográficos; Checklist de coerência metodológica APA 7 do pipeline.</w:t>
      </w:r>
    </w:p>
    <w:p>
      <w:pPr>
        <w:spacing w:line="480" w:lineRule="auto"/>
        <w:ind w:firstLine="720"/>
        <w:jc w:val="both"/>
      </w:pPr>
      <w:r>
        <w:rPr>
          <w:rFonts w:ascii="Times New Roman" w:hAnsi="Times New Roman" w:eastAsia="Times New Roman"/>
          <w:b w:val="0"/>
          <w:sz w:val="24"/>
        </w:rPr>
        <w:t>Procedimentos: (1) definição da pergunta e dos eixos; (2) recuperação e validação de DOIs; (3) leitura e síntese temática; (4) verificação de citações ↔ referências; (5) checagens de formatação APA 7 e originalidade heurística.</w:t>
      </w:r>
    </w:p>
    <w:p>
      <w:pPr>
        <w:spacing w:line="480" w:lineRule="auto"/>
        <w:ind w:firstLine="720"/>
        <w:jc w:val="both"/>
      </w:pPr>
      <w:r>
        <w:rPr>
          <w:rFonts w:ascii="Times New Roman" w:hAnsi="Times New Roman" w:eastAsia="Times New Roman"/>
          <w:b w:val="0"/>
          <w:sz w:val="24"/>
        </w:rPr>
        <w:t>As referências iniciais foram normalizadas automaticamente pela API CrossRef; cada DOI foi marcado como localizado ou não localizado. Em seguida, procedeu-se à leitura e à síntese por eixos temáticos definidos a priori: epidemiologia e fatores associados; experiência do doador e retorno; prevenção; hemovigilância e enfermagem.</w:t>
      </w:r>
    </w:p>
    <w:p>
      <w:pPr>
        <w:spacing w:line="480" w:lineRule="auto"/>
        <w:jc w:val="left"/>
      </w:pPr>
      <w:r>
        <w:rPr>
          <w:rFonts w:ascii="Times New Roman" w:hAnsi="Times New Roman" w:eastAsia="Times New Roman"/>
          <w:b/>
          <w:sz w:val="24"/>
        </w:rPr>
        <w:t>Análises</w:t>
      </w:r>
    </w:p>
    <w:p>
      <w:pPr>
        <w:spacing w:line="480" w:lineRule="auto"/>
        <w:ind w:firstLine="720"/>
        <w:jc w:val="both"/>
      </w:pPr>
      <w:r>
        <w:rPr>
          <w:rFonts w:ascii="Times New Roman" w:hAnsi="Times New Roman" w:eastAsia="Times New Roman"/>
          <w:b w:val="0"/>
          <w:sz w:val="24"/>
        </w:rPr>
        <w:t>Síntese narrativa por eixos: epidemiologia das reações; experiências do doador; prevenção; hemovigilância; implicações para enfermagem. Sem meta-análise. Não foram calculados tamanhos de efeito agregados. A validade da síntese depende da qualidade e da abrangência do corpus recuperado; limitações são explicitadas na Discussão.</w:t>
      </w:r>
    </w:p>
    <w:p>
      <w:pPr>
        <w:spacing w:line="480" w:lineRule="auto"/>
        <w:jc w:val="left"/>
      </w:pPr>
      <w:r>
        <w:rPr>
          <w:rFonts w:ascii="Times New Roman" w:hAnsi="Times New Roman" w:eastAsia="Times New Roman"/>
          <w:b/>
          <w:sz w:val="24"/>
        </w:rPr>
        <w:t>Ética</w:t>
      </w:r>
    </w:p>
    <w:p>
      <w:pPr>
        <w:spacing w:line="480" w:lineRule="auto"/>
        <w:ind w:firstLine="720"/>
        <w:jc w:val="both"/>
      </w:pPr>
      <w:r>
        <w:rPr>
          <w:rFonts w:ascii="Times New Roman" w:hAnsi="Times New Roman" w:eastAsia="Times New Roman"/>
          <w:b w:val="0"/>
          <w:sz w:val="24"/>
        </w:rPr>
        <w:t>Trata-se de revisão narrativa de literatura publicada. Não houve coleta de dados primários com participantes humanos ou animais; portanto, não se aplica aprovação por comitê de ética em pesquisa.</w:t>
      </w:r>
    </w:p>
    <w:p>
      <w:pPr>
        <w:spacing w:line="480" w:lineRule="auto"/>
        <w:jc w:val="center"/>
      </w:pPr>
      <w:r>
        <w:rPr>
          <w:rFonts w:ascii="Times New Roman" w:hAnsi="Times New Roman" w:eastAsia="Times New Roman"/>
          <w:b/>
          <w:sz w:val="24"/>
        </w:rPr>
        <w:t>Resultados</w:t>
      </w:r>
    </w:p>
    <w:p>
      <w:pPr>
        <w:spacing w:line="480" w:lineRule="auto"/>
        <w:jc w:val="left"/>
      </w:pPr>
      <w:r>
        <w:rPr>
          <w:rFonts w:ascii="Times New Roman" w:hAnsi="Times New Roman" w:eastAsia="Times New Roman"/>
          <w:b/>
          <w:sz w:val="24"/>
        </w:rPr>
        <w:t>Visão geral do corpus</w:t>
      </w:r>
    </w:p>
    <w:p>
      <w:pPr>
        <w:spacing w:line="480" w:lineRule="auto"/>
        <w:ind w:firstLine="720"/>
        <w:jc w:val="both"/>
      </w:pPr>
      <w:r>
        <w:rPr>
          <w:rFonts w:ascii="Times New Roman" w:hAnsi="Times New Roman" w:eastAsia="Times New Roman"/>
          <w:b w:val="0"/>
          <w:sz w:val="24"/>
        </w:rPr>
        <w:t>O corpus validado via CrossRef reuniu artigos sobre prevalência e fatores associados à reação vasovagal, experiências qualitativas de doadores, previsão de retorno, ensaios de prevenção, hemovigilância e contribuições da enfermagem. A Tabela 1 organiza os eixos temáticos e exemplos de contribuições.</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Tabela 1</w:t>
      </w:r>
      <w:r>
        <w:rPr>
          <w:rFonts w:ascii="Times New Roman" w:hAnsi="Times New Roman" w:eastAsia="Times New Roman"/>
          <w:b w:val="0"/>
          <w:sz w:val="24"/>
        </w:rPr>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val="0"/>
          <w:i/>
          <w:sz w:val="24"/>
        </w:rPr>
        <w:t>Eixos temáticos da síntese narrativa e contribuições exemplares</w:t>
      </w:r>
      <w:r>
        <w:rPr>
          <w:rFonts w:ascii="Times New Roman" w:hAnsi="Times New Roman" w:eastAsia="Times New Roman"/>
          <w:b w:val="0"/>
          <w:sz w:val="24"/>
        </w:rPr>
      </w:r>
    </w:p>
    <w:p>
      <w:pPr>
        <w:jc w:val="left"/>
      </w:pPr>
      <w:r>
        <w:rPr>
          <w:rFonts w:ascii="Times New Roman" w:hAnsi="Times New Roman" w:eastAsia="Times New Roman"/>
          <w:b w:val="0"/>
          <w:sz w:val="22"/>
        </w:rPr>
        <w:t>Eixo   Contribuição exemplar   Fonte</w:t>
      </w:r>
    </w:p>
    <w:p>
      <w:pPr>
        <w:spacing w:line="480" w:lineRule="auto"/>
        <w:ind w:firstLine="720"/>
        <w:jc w:val="both"/>
      </w:pPr>
      <w:r>
        <w:rPr>
          <w:rFonts w:ascii="Times New Roman" w:hAnsi="Times New Roman" w:eastAsia="Times New Roman"/>
          <w:b w:val="0"/>
          <w:sz w:val="24"/>
        </w:rPr>
        <w:t>|---|---|---|</w:t>
      </w:r>
    </w:p>
    <w:p>
      <w:pPr>
        <w:jc w:val="left"/>
      </w:pPr>
      <w:r>
        <w:rPr>
          <w:rFonts w:ascii="Times New Roman" w:hAnsi="Times New Roman" w:eastAsia="Times New Roman"/>
          <w:b w:val="0"/>
          <w:sz w:val="22"/>
        </w:rPr>
        <w:t>Epidemiologia / fatores   Prevalência e fatores associados à reação vasovagal   Ibrahim et al. (2023); Hasan et al. (2020)</w:t>
      </w:r>
    </w:p>
    <w:p>
      <w:pPr>
        <w:jc w:val="left"/>
      </w:pPr>
      <w:r>
        <w:rPr>
          <w:rFonts w:ascii="Times New Roman" w:hAnsi="Times New Roman" w:eastAsia="Times New Roman"/>
          <w:b w:val="0"/>
          <w:sz w:val="22"/>
        </w:rPr>
        <w:t>Experiência e retorno   Significados da reação e comportamento de retorno   Thijsen et al. (2021, 2022, 2023)</w:t>
      </w:r>
    </w:p>
    <w:p>
      <w:pPr>
        <w:jc w:val="left"/>
      </w:pPr>
      <w:r>
        <w:rPr>
          <w:rFonts w:ascii="Times New Roman" w:hAnsi="Times New Roman" w:eastAsia="Times New Roman"/>
          <w:b w:val="0"/>
          <w:sz w:val="22"/>
        </w:rPr>
        <w:t>Prevenção   Ensaios e estratificação de risco   Meher et al. (2024); Bansal &amp; Saini (2026)</w:t>
      </w:r>
    </w:p>
    <w:p>
      <w:pPr>
        <w:jc w:val="left"/>
      </w:pPr>
      <w:r>
        <w:rPr>
          <w:rFonts w:ascii="Times New Roman" w:hAnsi="Times New Roman" w:eastAsia="Times New Roman"/>
          <w:b w:val="0"/>
          <w:sz w:val="22"/>
        </w:rPr>
        <w:t>Hemovigilância   Conceitos, registro e gradação de gravidade   Mani &amp; Gupta (2021); Patel et al. (2026); Savaliya et al. (2019)</w:t>
      </w:r>
    </w:p>
    <w:p>
      <w:pPr>
        <w:jc w:val="left"/>
      </w:pPr>
      <w:r>
        <w:rPr>
          <w:rFonts w:ascii="Times New Roman" w:hAnsi="Times New Roman" w:eastAsia="Times New Roman"/>
          <w:b w:val="0"/>
          <w:sz w:val="22"/>
        </w:rPr>
        <w:t>Enfermagem   Diagnósticos/necessidades e assistência   Esplendori (2018); Silveira &amp; Bomfim (2022)</w:t>
      </w:r>
    </w:p>
    <w:p>
      <w:pPr>
        <w:jc w:val="left"/>
      </w:pPr>
      <w:r>
        <w:rPr>
          <w:rFonts w:ascii="Times New Roman" w:hAnsi="Times New Roman" w:eastAsia="Times New Roman"/>
          <w:b w:val="0"/>
          <w:sz w:val="22"/>
        </w:rPr>
        <w:t>Contextos adicionais   Acompanhamento pós-reação; inaptidão em adolescentes   Kumatagi et al. (2025); de Cerqueira et al. (2025)</w:t>
      </w:r>
    </w:p>
    <w:p>
      <w:pPr>
        <w:spacing w:line="480" w:lineRule="auto"/>
        <w:jc w:val="left"/>
      </w:pPr>
      <w:r>
        <w:rPr>
          <w:rFonts w:ascii="Times New Roman" w:hAnsi="Times New Roman" w:eastAsia="Times New Roman"/>
          <w:b/>
          <w:sz w:val="24"/>
        </w:rPr>
        <w:t>Epidemiologia e fatores associados</w:t>
      </w:r>
    </w:p>
    <w:p>
      <w:pPr>
        <w:spacing w:line="480" w:lineRule="auto"/>
        <w:ind w:firstLine="720"/>
        <w:jc w:val="both"/>
      </w:pPr>
      <w:r>
        <w:rPr>
          <w:rFonts w:ascii="Times New Roman" w:hAnsi="Times New Roman" w:eastAsia="Times New Roman"/>
          <w:b w:val="0"/>
          <w:sz w:val="24"/>
        </w:rPr>
        <w:t>Estudos em serviços hospitalares descrevem a reação vasovagal como evento central na hemovigilância do doador e associam sua ocorrência a características demográficas e situacionais da doação (Hasan et al., 2020; Ibrahim et al., 2023; Savaliya et al., 2019). A literatura converge ao reconhecer que doadores jovens e de primeira doação tendem a concentrar maior risco em muitos contextos, embora a magnitude e os preditores variem entre serviços. Essa heterogeneidade reforça a necessidade de vigilância local e de não extrapolar prevalências sem ajuste ao perfil da captação.</w:t>
      </w:r>
    </w:p>
    <w:p>
      <w:pPr>
        <w:spacing w:line="480" w:lineRule="auto"/>
        <w:jc w:val="left"/>
      </w:pPr>
      <w:r>
        <w:rPr>
          <w:rFonts w:ascii="Times New Roman" w:hAnsi="Times New Roman" w:eastAsia="Times New Roman"/>
          <w:b/>
          <w:sz w:val="24"/>
        </w:rPr>
        <w:t>Experiência do doador, emoções e retorno</w:t>
      </w:r>
    </w:p>
    <w:p>
      <w:pPr>
        <w:spacing w:line="480" w:lineRule="auto"/>
        <w:ind w:firstLine="720"/>
        <w:jc w:val="both"/>
      </w:pPr>
      <w:r>
        <w:rPr>
          <w:rFonts w:ascii="Times New Roman" w:hAnsi="Times New Roman" w:eastAsia="Times New Roman"/>
          <w:b w:val="0"/>
          <w:sz w:val="24"/>
        </w:rPr>
        <w:t>Thijsen et al. (2021) evidenciaram, em estudo qualitativo, que a experiência da reação vasovagal é interpretada pelos doadores de modos que afetam a disposição de retornar. Em trabalho subsequente, Thijsen et al. (2022) aplicaram o Health Action Process Approach para modelar intenções e retorno após a reação em doadores de sangue total e de plasma. Em coorte longitudinal de doadores de primeira vez, Thijsen et al. (2023) examinaram emoções além do medo como preditores de risco de reação vasovagal, ampliando o foco meramente fisiológico para dimensões afetivas mensuráveis.</w:t>
      </w:r>
    </w:p>
    <w:p>
      <w:pPr>
        <w:spacing w:line="480" w:lineRule="auto"/>
        <w:ind w:firstLine="720"/>
        <w:jc w:val="both"/>
      </w:pPr>
      <w:r>
        <w:rPr>
          <w:rFonts w:ascii="Times New Roman" w:hAnsi="Times New Roman" w:eastAsia="Times New Roman"/>
          <w:b w:val="0"/>
          <w:sz w:val="24"/>
        </w:rPr>
        <w:t>O retorno do doador também sofre influência de barreiras administrativas e clínicas, como adiamentos temporários ao longo do ciclo de vida do doador (Clement et al., 2021). Assim, a reação adversa não opera isoladamente: articula-se a emoções, cognições de autoeficácia, comunicação da equipe e políticas de elegibilidade.</w:t>
      </w:r>
    </w:p>
    <w:p>
      <w:pPr>
        <w:spacing w:line="480" w:lineRule="auto"/>
        <w:jc w:val="left"/>
      </w:pPr>
      <w:r>
        <w:rPr>
          <w:rFonts w:ascii="Times New Roman" w:hAnsi="Times New Roman" w:eastAsia="Times New Roman"/>
          <w:b/>
          <w:sz w:val="24"/>
        </w:rPr>
        <w:t>Estratégias de prevenção</w:t>
      </w:r>
    </w:p>
    <w:p>
      <w:pPr>
        <w:spacing w:line="480" w:lineRule="auto"/>
        <w:ind w:firstLine="720"/>
        <w:jc w:val="both"/>
      </w:pPr>
      <w:r>
        <w:rPr>
          <w:rFonts w:ascii="Times New Roman" w:hAnsi="Times New Roman" w:eastAsia="Times New Roman"/>
          <w:b w:val="0"/>
          <w:sz w:val="24"/>
        </w:rPr>
        <w:t>Meher et al. (2024) reportaram ensaio clínico randomizado de quatro braços sobre estratégias de prevenção de reação vasovagal em doadores de sangue total, contribuindo com evidência experimental para o desenho de protocolos. Bansal e Saini (2026), em discussão recente, argumentam a favor de abordagens estratificadas por risco, em contraste com mitigações universais indiferenciadas. Em conjunto, esses trabalhos sustentam a hipótese de que prevenção estruturada — e, preferencialmente, ajustada ao risco — pode reduzir eventos e seus efeitos colaterais sobre a retenção.</w:t>
      </w:r>
    </w:p>
    <w:p>
      <w:pPr>
        <w:spacing w:line="480" w:lineRule="auto"/>
        <w:jc w:val="left"/>
      </w:pPr>
      <w:r>
        <w:rPr>
          <w:rFonts w:ascii="Times New Roman" w:hAnsi="Times New Roman" w:eastAsia="Times New Roman"/>
          <w:b/>
          <w:sz w:val="24"/>
        </w:rPr>
        <w:t>Hemovigilância do doador</w:t>
      </w:r>
    </w:p>
    <w:p>
      <w:pPr>
        <w:spacing w:line="480" w:lineRule="auto"/>
        <w:ind w:firstLine="720"/>
        <w:jc w:val="both"/>
      </w:pPr>
      <w:r>
        <w:rPr>
          <w:rFonts w:ascii="Times New Roman" w:hAnsi="Times New Roman" w:eastAsia="Times New Roman"/>
          <w:b w:val="0"/>
          <w:sz w:val="24"/>
        </w:rPr>
        <w:t>Mani e Gupta (2021) situam a hemovigilância como sistema de vigilância e aprendizado organizacional. Ferramentas de gradação de gravidade, como a discutida por Patel et al. (2026) no âmbito de programa nacional de hemovigilância, permitem padronizar a classificação de eventos e comparar serviços. Estudos de acompanhamento após reação vasovagal, a exemplo de Kumatagi et al. (2025), ajudam a compreender trajetórias de retorno em janelas plurianuais. No Brasil, análises multicêntricas sobre doação em adolescentes incluem inaptidão clínica e eventos adversos como dimensões relevantes para a política de captação (de Cerqueira et al., 2025).</w:t>
      </w:r>
    </w:p>
    <w:p>
      <w:pPr>
        <w:spacing w:line="480" w:lineRule="auto"/>
        <w:jc w:val="left"/>
      </w:pPr>
      <w:r>
        <w:rPr>
          <w:rFonts w:ascii="Times New Roman" w:hAnsi="Times New Roman" w:eastAsia="Times New Roman"/>
          <w:b/>
          <w:sz w:val="24"/>
        </w:rPr>
        <w:t>Implicações descritivas para a enfermagem</w:t>
      </w:r>
    </w:p>
    <w:p>
      <w:pPr>
        <w:spacing w:line="480" w:lineRule="auto"/>
        <w:ind w:firstLine="720"/>
        <w:jc w:val="both"/>
      </w:pPr>
      <w:r>
        <w:rPr>
          <w:rFonts w:ascii="Times New Roman" w:hAnsi="Times New Roman" w:eastAsia="Times New Roman"/>
          <w:b w:val="0"/>
          <w:sz w:val="24"/>
        </w:rPr>
        <w:t>Esplendori (2018) articula reações adversas na doação de sangue total a necessidades humanas básicas e a diagnósticos de enfermagem, oferecendo ponte conceitual entre evento clínico e processo de enfermagem. Silveira e Bomfim (2022) discutem a assistência de enfermagem na doação e na transfusão, reforçando o papel profissional na cadeia hemoterápica. Os achados da síntese sugerem que a enfermagem opera em pelo menos quatro momentos críticos: (1) identificação de risco na triagem; (2) vigilância e intervenção precoce durante a coleta; (3) cuidados pós-reação e educação para autocuidado; (4) registro fidedigno para hemovigilância.</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sz w:val="24"/>
        </w:rPr>
        <w:t>Figura 1</w:t>
      </w:r>
      <w:r>
        <w:rPr>
          <w:rFonts w:ascii="Times New Roman" w:hAnsi="Times New Roman" w:eastAsia="Times New Roman"/>
          <w:b w:val="0"/>
          <w:sz w:val="24"/>
        </w:rPr>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val="0"/>
          <w:i/>
          <w:sz w:val="24"/>
        </w:rPr>
        <w:t>Modelo lógico simplificado: do risco à retenção do doador</w:t>
      </w:r>
      <w:r>
        <w:rPr>
          <w:rFonts w:ascii="Times New Roman" w:hAnsi="Times New Roman" w:eastAsia="Times New Roman"/>
          <w:b w:val="0"/>
          <w:sz w:val="24"/>
        </w:rPr>
      </w:r>
    </w:p>
    <w:p>
      <w:pPr>
        <w:spacing w:line="480" w:lineRule="auto"/>
        <w:ind w:firstLine="720"/>
        <w:jc w:val="both"/>
      </w:pPr>
      <w:r>
        <w:rPr>
          <w:rFonts w:ascii="Times New Roman" w:hAnsi="Times New Roman" w:eastAsia="Times New Roman"/>
          <w:b w:val="0"/>
          <w:sz w:val="24"/>
        </w:rPr>
        <w:t>```</w:t>
      </w:r>
    </w:p>
    <w:p>
      <w:pPr>
        <w:spacing w:line="480" w:lineRule="auto"/>
        <w:ind w:firstLine="720"/>
        <w:jc w:val="both"/>
      </w:pPr>
      <w:r>
        <w:rPr>
          <w:rFonts w:ascii="Times New Roman" w:hAnsi="Times New Roman" w:eastAsia="Times New Roman"/>
          <w:b w:val="0"/>
          <w:sz w:val="24"/>
        </w:rPr>
        <w:t>Triagem/risco → Prevenção estratificada → Vigilância na coleta</w:t>
      </w:r>
    </w:p>
    <w:p>
      <w:pPr>
        <w:spacing w:line="480" w:lineRule="auto"/>
        <w:ind w:firstLine="720"/>
        <w:jc w:val="both"/>
      </w:pPr>
      <w:r>
        <w:rPr>
          <w:rFonts w:ascii="Times New Roman" w:hAnsi="Times New Roman" w:eastAsia="Times New Roman"/>
          <w:b w:val="0"/>
          <w:sz w:val="24"/>
        </w:rPr>
        <w:t xml:space="preserve">        → Manejo da reação → Registro (hemovigilância) → Educação/retorno</w:t>
      </w:r>
    </w:p>
    <w:p>
      <w:pPr>
        <w:spacing w:line="480" w:lineRule="auto"/>
        <w:ind w:firstLine="720"/>
        <w:jc w:val="both"/>
      </w:pPr>
      <w:r>
        <w:rPr>
          <w:rFonts w:ascii="Times New Roman" w:hAnsi="Times New Roman" w:eastAsia="Times New Roman"/>
          <w:b w:val="0"/>
          <w:sz w:val="24"/>
        </w:rPr>
        <w:t>```</w:t>
      </w:r>
    </w:p>
    <w:p>
      <w:pPr>
        <w:spacing w:line="480" w:lineRule="auto"/>
        <w:ind w:firstLine="720"/>
        <w:jc w:val="both"/>
      </w:pPr>
      <w:r>
        <w:rPr>
          <w:rFonts w:ascii="Times New Roman" w:hAnsi="Times New Roman" w:eastAsia="Times New Roman"/>
          <w:b w:val="0"/>
          <w:sz w:val="24"/>
        </w:rPr>
      </w:r>
      <w:r>
        <w:rPr>
          <w:rFonts w:ascii="Times New Roman" w:hAnsi="Times New Roman" w:eastAsia="Times New Roman"/>
          <w:b w:val="0"/>
          <w:i/>
          <w:sz w:val="24"/>
        </w:rPr>
        <w:t>Nota.</w:t>
      </w:r>
      <w:r>
        <w:rPr>
          <w:rFonts w:ascii="Times New Roman" w:hAnsi="Times New Roman" w:eastAsia="Times New Roman"/>
          <w:b w:val="0"/>
          <w:sz w:val="24"/>
        </w:rPr>
        <w:t xml:space="preserve"> Modelo heurístico derivado da síntese narrativa; não constitui protocolo clínico validado.</w:t>
      </w:r>
    </w:p>
    <w:p>
      <w:pPr>
        <w:spacing w:line="480" w:lineRule="auto"/>
        <w:jc w:val="center"/>
      </w:pPr>
      <w:r>
        <w:rPr>
          <w:rFonts w:ascii="Times New Roman" w:hAnsi="Times New Roman" w:eastAsia="Times New Roman"/>
          <w:b/>
          <w:sz w:val="24"/>
        </w:rPr>
        <w:t>Discussão</w:t>
      </w:r>
    </w:p>
    <w:p>
      <w:pPr>
        <w:spacing w:line="480" w:lineRule="auto"/>
        <w:ind w:firstLine="720"/>
        <w:jc w:val="both"/>
      </w:pPr>
      <w:r>
        <w:rPr>
          <w:rFonts w:ascii="Times New Roman" w:hAnsi="Times New Roman" w:eastAsia="Times New Roman"/>
          <w:b w:val="0"/>
          <w:sz w:val="24"/>
        </w:rPr>
        <w:t>Os resultados da síntese são coerentes com as hipóteses formuladas. Em relação à H1, a combinação de evidências experimentais e de propostas de estratificação de risco (Meher et al., 2024; Bansal &amp; Saini, 2026), juntamente com achados sobre emoções e retorno (Thijsen et al., 2021, 2022, 2023), indica que prevenção estruturada e atenção aos significados da experiência tendem a reduzir o impacto das reações adversas sobre a continuidade da doação. Em relação à H2, a literatura de hemovigilância e de enfermagem (Mani &amp; Gupta, 2021; Esplendori, 2018; Patel et al., 2026) sustenta que processos profissionais de triagem, vigilância, educação e registro são componentes centrais — e não periféricos — da segurança do doador.</w:t>
      </w:r>
    </w:p>
    <w:p>
      <w:pPr>
        <w:spacing w:line="480" w:lineRule="auto"/>
        <w:jc w:val="left"/>
      </w:pPr>
      <w:r>
        <w:rPr>
          <w:rFonts w:ascii="Times New Roman" w:hAnsi="Times New Roman" w:eastAsia="Times New Roman"/>
          <w:b/>
          <w:sz w:val="24"/>
        </w:rPr>
        <w:t>Interpretação integrada</w:t>
      </w:r>
    </w:p>
    <w:p>
      <w:pPr>
        <w:spacing w:line="480" w:lineRule="auto"/>
        <w:ind w:firstLine="720"/>
        <w:jc w:val="both"/>
      </w:pPr>
      <w:r>
        <w:rPr>
          <w:rFonts w:ascii="Times New Roman" w:hAnsi="Times New Roman" w:eastAsia="Times New Roman"/>
          <w:b w:val="0"/>
          <w:sz w:val="24"/>
        </w:rPr>
        <w:t>Uma leitura exclusivamente biomédica da reação vasovagal é insuficiente. A fisiologia do evento interage com medo, outras emoções, comunicação da equipe e barreiras posteriores, como adiamentos (Clement et al., 2021; Thijsen et al., 2023). Para serviços que dependem de reposição constante de doadores, a métrica de sucesso não pode limitar-se à taxa de reação: deve incluir retorno, satisfação e qualidade do registro.</w:t>
      </w:r>
    </w:p>
    <w:p>
      <w:pPr>
        <w:spacing w:line="480" w:lineRule="auto"/>
        <w:jc w:val="left"/>
      </w:pPr>
      <w:r>
        <w:rPr>
          <w:rFonts w:ascii="Times New Roman" w:hAnsi="Times New Roman" w:eastAsia="Times New Roman"/>
          <w:b/>
          <w:sz w:val="24"/>
        </w:rPr>
        <w:t>Implicações para a prática e para a gestão</w:t>
      </w:r>
    </w:p>
    <w:p>
      <w:pPr>
        <w:spacing w:line="480" w:lineRule="auto"/>
        <w:ind w:firstLine="720"/>
        <w:jc w:val="both"/>
      </w:pPr>
      <w:r>
        <w:rPr>
          <w:rFonts w:ascii="Times New Roman" w:hAnsi="Times New Roman" w:eastAsia="Times New Roman"/>
          <w:b w:val="0"/>
          <w:sz w:val="24"/>
        </w:rPr>
        <w:t>Serviços de hemoterapia podem: (a) incorporar checklists de risco na triagem de enfermagem; (b) padronizar medidas preventivas com base em evidência experimental disponível; (c) treinar respostas rápidas e empáticas à reação; (d) alimentar bancos de hemovigilância com classificação de gravidade; (e) planejar contato pós-evento orientado à retenção ética do doador. Tais ações alinham-se a uma lógica de melhoria contínua descrita nos referenciais de hemovigilância (Mani &amp; Gupta, 2021).</w:t>
      </w:r>
    </w:p>
    <w:p>
      <w:pPr>
        <w:spacing w:line="480" w:lineRule="auto"/>
        <w:jc w:val="left"/>
      </w:pPr>
      <w:r>
        <w:rPr>
          <w:rFonts w:ascii="Times New Roman" w:hAnsi="Times New Roman" w:eastAsia="Times New Roman"/>
          <w:b/>
          <w:sz w:val="24"/>
        </w:rPr>
        <w:t>Limitações</w:t>
      </w:r>
    </w:p>
    <w:p>
      <w:pPr>
        <w:spacing w:line="480" w:lineRule="auto"/>
        <w:ind w:firstLine="720"/>
        <w:jc w:val="both"/>
      </w:pPr>
      <w:r>
        <w:rPr>
          <w:rFonts w:ascii="Times New Roman" w:hAnsi="Times New Roman" w:eastAsia="Times New Roman"/>
          <w:b w:val="0"/>
          <w:sz w:val="24"/>
        </w:rPr>
        <w:t>Esta revisão é narrativa e não sistemática: não houve registro PROSPERO, dupla seleção independente nem meta-análise. O corpus depende da recuperação via CrossRef a partir de uma bibliografia inicial e de buscas complementares, o que pode omitir estudos relevantes em bases não espelhadas. Parte dos artigos reporta contextos institucionais específicos, limitando a generalização. Além disso, a verificação de originalidade aqui empregada é heurística local e não substitui relatórios comerciais de similaridade exigidos por alguns periódicos. Não foram utilizados dados primários de hemocentros; quaisquer inferências sobre implementação local exigem pesquisa empírica com aprovação ética quando couber.</w:t>
      </w:r>
    </w:p>
    <w:p>
      <w:pPr>
        <w:spacing w:line="480" w:lineRule="auto"/>
        <w:jc w:val="left"/>
      </w:pPr>
      <w:r>
        <w:rPr>
          <w:rFonts w:ascii="Times New Roman" w:hAnsi="Times New Roman" w:eastAsia="Times New Roman"/>
          <w:b/>
          <w:sz w:val="24"/>
        </w:rPr>
        <w:t>Objeções e respostas</w:t>
      </w:r>
    </w:p>
    <w:p>
      <w:pPr>
        <w:spacing w:line="480" w:lineRule="auto"/>
        <w:ind w:firstLine="720"/>
        <w:jc w:val="both"/>
      </w:pPr>
      <w:r>
        <w:rPr>
          <w:rFonts w:ascii="Times New Roman" w:hAnsi="Times New Roman" w:eastAsia="Times New Roman"/>
          <w:b w:val="0"/>
          <w:sz w:val="24"/>
        </w:rPr>
        <w:t>Pode-se objetar que, sem meta-análise, não se pode afirmar eficácia preventiva. Responde-se que o objetivo foi mapear e integrar evidências heterogêneas e derivar implicações de enfermagem, apontando o ensaio de Meher et al. (2024) e a discussão de Bansal e Saini (2026) como âncoras empíricas e conceituais — não como estimativa global de efeito. Outra objeção é a de que hemovigilância seria atribuição médica ou administrativa. A literatura de enfermagem, contudo, mostra interface direta com necessidades do doador e com a assistência na doação (Esplendori, 2018; Silveira &amp; Bomfim, 2022), o que torna a enfermagem agente necessário do sistema de vigilância.</w:t>
      </w:r>
    </w:p>
    <w:p>
      <w:pPr>
        <w:spacing w:line="480" w:lineRule="auto"/>
        <w:jc w:val="center"/>
      </w:pPr>
      <w:r>
        <w:rPr>
          <w:rFonts w:ascii="Times New Roman" w:hAnsi="Times New Roman" w:eastAsia="Times New Roman"/>
          <w:b/>
          <w:sz w:val="24"/>
        </w:rPr>
        <w:t>Conclusão</w:t>
      </w:r>
    </w:p>
    <w:p>
      <w:pPr>
        <w:spacing w:line="480" w:lineRule="auto"/>
        <w:ind w:firstLine="720"/>
        <w:jc w:val="both"/>
      </w:pPr>
      <w:r>
        <w:rPr>
          <w:rFonts w:ascii="Times New Roman" w:hAnsi="Times New Roman" w:eastAsia="Times New Roman"/>
          <w:b w:val="0"/>
          <w:sz w:val="24"/>
        </w:rPr>
        <w:t>A evidência recente reforça que reações adversas na doação de sangue — em especial a reação vasovagal — são problema simultaneamente clínico, comportamental e organizacional. Estratégias preventivas estruturadas e, quando possível, estratificadas por risco, associadas a escuta da experiência do doador e a hemovigilância robusta, constituem caminho promissor para reduzir danos e preservar o retorno. A enfermagem emerge como elo operacional entre triagem, prevenção, manejo, educação e registro. Contribuições desta revisão incluem: (1) articulação atualizada dos eixos epidemiologia–experiência–prevenção–hemovigilância–enfermagem; (2) hipóteses de síntese testáveis em estudos locais; e (3) agenda de implementação para serviços. Pesquisas futuras devem avaliar, com métodos mistos e ética adequada, a efetividade de bundles de enfermagem para prevenção e retenção em hemocentros brasileiros.</w:t>
      </w:r>
    </w:p>
    <w:p>
      <w:pPr>
        <w:spacing w:line="480" w:lineRule="auto"/>
        <w:jc w:val="center"/>
      </w:pPr>
      <w:r>
        <w:rPr>
          <w:rFonts w:ascii="Times New Roman" w:hAnsi="Times New Roman" w:eastAsia="Times New Roman"/>
          <w:b/>
          <w:sz w:val="24"/>
        </w:rPr>
        <w:t>Agradecimentos</w:t>
      </w:r>
    </w:p>
    <w:p>
      <w:pPr>
        <w:spacing w:line="480" w:lineRule="auto"/>
        <w:ind w:firstLine="720"/>
        <w:jc w:val="both"/>
      </w:pPr>
      <w:r>
        <w:rPr>
          <w:rFonts w:ascii="Times New Roman" w:hAnsi="Times New Roman" w:eastAsia="Times New Roman"/>
          <w:b w:val="0"/>
          <w:sz w:val="24"/>
        </w:rPr>
        <w:t>O autor agradece às fontes abertas CrossRef/DOI.org pela disponibilização de metadados bibliográficos utilizados na validação das referências.</w:t>
      </w:r>
    </w:p>
    <w:p>
      <w:pPr>
        <w:spacing w:line="480" w:lineRule="auto"/>
        <w:jc w:val="center"/>
      </w:pPr>
      <w:r>
        <w:rPr>
          <w:rFonts w:ascii="Times New Roman" w:hAnsi="Times New Roman" w:eastAsia="Times New Roman"/>
          <w:b/>
          <w:sz w:val="24"/>
        </w:rPr>
        <w:t>Financiamento</w:t>
      </w:r>
    </w:p>
    <w:p>
      <w:pPr>
        <w:spacing w:line="480" w:lineRule="auto"/>
        <w:ind w:firstLine="720"/>
        <w:jc w:val="both"/>
      </w:pPr>
      <w:r>
        <w:rPr>
          <w:rFonts w:ascii="Times New Roman" w:hAnsi="Times New Roman" w:eastAsia="Times New Roman"/>
          <w:b w:val="0"/>
          <w:sz w:val="24"/>
        </w:rPr>
        <w:t>Esta revisão não recebeu financiamento externo específico.</w:t>
      </w:r>
    </w:p>
    <w:p>
      <w:pPr>
        <w:spacing w:line="480" w:lineRule="auto"/>
        <w:jc w:val="center"/>
      </w:pPr>
      <w:r>
        <w:rPr>
          <w:rFonts w:ascii="Times New Roman" w:hAnsi="Times New Roman" w:eastAsia="Times New Roman"/>
          <w:b/>
          <w:sz w:val="24"/>
        </w:rPr>
        <w:t>Conflitos de interesse</w:t>
      </w:r>
    </w:p>
    <w:p>
      <w:pPr>
        <w:spacing w:line="480" w:lineRule="auto"/>
        <w:ind w:firstLine="720"/>
        <w:jc w:val="both"/>
      </w:pPr>
      <w:r>
        <w:rPr>
          <w:rFonts w:ascii="Times New Roman" w:hAnsi="Times New Roman" w:eastAsia="Times New Roman"/>
          <w:b w:val="0"/>
          <w:sz w:val="24"/>
        </w:rPr>
        <w:t>O autor declara não haver conflitos de interesse.</w:t>
      </w:r>
    </w:p>
    <w:p>
      <w:pPr>
        <w:spacing w:line="480" w:lineRule="auto"/>
        <w:jc w:val="center"/>
      </w:pPr>
      <w:r>
        <w:rPr>
          <w:rFonts w:ascii="Times New Roman" w:hAnsi="Times New Roman" w:eastAsia="Times New Roman"/>
          <w:b/>
          <w:sz w:val="24"/>
        </w:rPr>
        <w:t>Referências</w:t>
      </w:r>
    </w:p>
    <w:p>
      <w:pPr>
        <w:spacing w:line="480" w:lineRule="auto"/>
        <w:ind w:left="720" w:hanging="720"/>
        <w:jc w:val="left"/>
      </w:pPr>
      <w:r>
        <w:rPr>
          <w:rFonts w:ascii="Times New Roman" w:hAnsi="Times New Roman" w:eastAsia="Times New Roman"/>
          <w:b w:val="0"/>
          <w:sz w:val="24"/>
        </w:rPr>
        <w:t xml:space="preserve">Bansal, R., &amp; Saini, N. (2026). Beyond universal mitigation: Risk‐stratified approaches for preventing vasovagal reactions in blood donors. </w:t>
      </w:r>
      <w:r>
        <w:rPr>
          <w:rFonts w:ascii="Times New Roman" w:hAnsi="Times New Roman" w:eastAsia="Times New Roman"/>
          <w:b w:val="0"/>
          <w:i/>
          <w:sz w:val="24"/>
        </w:rPr>
        <w:t>Vox Sanguinis</w:t>
      </w:r>
      <w:r>
        <w:rPr>
          <w:rFonts w:ascii="Times New Roman" w:hAnsi="Times New Roman" w:eastAsia="Times New Roman"/>
          <w:b w:val="0"/>
          <w:sz w:val="24"/>
        </w:rPr>
        <w:t>. https://doi.org/10.1111/vox.70333</w:t>
      </w:r>
    </w:p>
    <w:p>
      <w:pPr>
        <w:spacing w:line="480" w:lineRule="auto"/>
        <w:ind w:left="720" w:hanging="720"/>
        <w:jc w:val="left"/>
      </w:pPr>
      <w:r>
        <w:rPr>
          <w:rFonts w:ascii="Times New Roman" w:hAnsi="Times New Roman" w:eastAsia="Times New Roman"/>
          <w:b w:val="0"/>
          <w:sz w:val="24"/>
        </w:rPr>
        <w:t xml:space="preserve">Clement, M., Shehu, E., &amp; Chandler, T. (2021). The impact of temporary deferrals on future blood donation behavior across the donor life cycle. </w:t>
      </w:r>
      <w:r>
        <w:rPr>
          <w:rFonts w:ascii="Times New Roman" w:hAnsi="Times New Roman" w:eastAsia="Times New Roman"/>
          <w:b w:val="0"/>
          <w:i/>
          <w:sz w:val="24"/>
        </w:rPr>
        <w:t>Transfusion</w:t>
      </w:r>
      <w:r>
        <w:rPr>
          <w:rFonts w:ascii="Times New Roman" w:hAnsi="Times New Roman" w:eastAsia="Times New Roman"/>
          <w:b w:val="0"/>
          <w:sz w:val="24"/>
        </w:rPr>
        <w:t xml:space="preserve">, </w:t>
      </w:r>
      <w:r>
        <w:rPr>
          <w:rFonts w:ascii="Times New Roman" w:hAnsi="Times New Roman" w:eastAsia="Times New Roman"/>
          <w:b w:val="0"/>
          <w:i/>
          <w:sz w:val="24"/>
        </w:rPr>
        <w:t>61</w:t>
      </w:r>
      <w:r>
        <w:rPr>
          <w:rFonts w:ascii="Times New Roman" w:hAnsi="Times New Roman" w:eastAsia="Times New Roman"/>
          <w:b w:val="0"/>
          <w:sz w:val="24"/>
        </w:rPr>
        <w:t>(6), 1799-1808. https://doi.org/10.1111/trf.16387</w:t>
      </w:r>
    </w:p>
    <w:p>
      <w:pPr>
        <w:spacing w:line="480" w:lineRule="auto"/>
        <w:ind w:left="720" w:hanging="720"/>
        <w:jc w:val="left"/>
      </w:pPr>
      <w:r>
        <w:rPr>
          <w:rFonts w:ascii="Times New Roman" w:hAnsi="Times New Roman" w:eastAsia="Times New Roman"/>
          <w:b w:val="0"/>
          <w:sz w:val="24"/>
        </w:rPr>
        <w:t xml:space="preserve">de Cerqueira, M., Dias, G., Capitani, E., Gorges, E., Dalmazzo, L., &amp; AKIL, F. (2025). A DOAÇÃO DE SANGUE ENTRE ADOLESCENTES BRASILEIROS: UM ESTUDO MULTICENTRICO SOBRE INAPTIDÃO CLÍNICA, EVENTOS ADVERSOS, RISCO INFECCIOSO E POTENCIAL PARA CAPTAÇÃO DE NOVOS DOADORES. </w:t>
      </w:r>
      <w:r>
        <w:rPr>
          <w:rFonts w:ascii="Times New Roman" w:hAnsi="Times New Roman" w:eastAsia="Times New Roman"/>
          <w:b w:val="0"/>
          <w:i/>
          <w:sz w:val="24"/>
        </w:rPr>
        <w:t>Hematology, Transfusion and Cell Therapy</w:t>
      </w:r>
      <w:r>
        <w:rPr>
          <w:rFonts w:ascii="Times New Roman" w:hAnsi="Times New Roman" w:eastAsia="Times New Roman"/>
          <w:b w:val="0"/>
          <w:sz w:val="24"/>
        </w:rPr>
        <w:t xml:space="preserve">, </w:t>
      </w:r>
      <w:r>
        <w:rPr>
          <w:rFonts w:ascii="Times New Roman" w:hAnsi="Times New Roman" w:eastAsia="Times New Roman"/>
          <w:b w:val="0"/>
          <w:i/>
          <w:sz w:val="24"/>
        </w:rPr>
        <w:t>47</w:t>
      </w:r>
      <w:r>
        <w:rPr>
          <w:rFonts w:ascii="Times New Roman" w:hAnsi="Times New Roman" w:eastAsia="Times New Roman"/>
          <w:b w:val="0"/>
          <w:sz w:val="24"/>
        </w:rPr>
        <w:t>, 105053. https://doi.org/10.1016/j.htct.2025.105053</w:t>
      </w:r>
    </w:p>
    <w:p>
      <w:pPr>
        <w:spacing w:line="480" w:lineRule="auto"/>
        <w:ind w:left="720" w:hanging="720"/>
        <w:jc w:val="left"/>
      </w:pPr>
      <w:r>
        <w:rPr>
          <w:rFonts w:ascii="Times New Roman" w:hAnsi="Times New Roman" w:eastAsia="Times New Roman"/>
          <w:b w:val="0"/>
          <w:sz w:val="24"/>
        </w:rPr>
        <w:t xml:space="preserve">Esplendori, G. F. (2018). Adverse reactions to whole blood donation, basic human needs and nursing diagnoses: a reflection. </w:t>
      </w:r>
      <w:r>
        <w:rPr>
          <w:rFonts w:ascii="Times New Roman" w:hAnsi="Times New Roman" w:eastAsia="Times New Roman"/>
          <w:b w:val="0"/>
          <w:i/>
          <w:sz w:val="24"/>
        </w:rPr>
        <w:t>Revista da Escola de Enfermagem da USP</w:t>
      </w:r>
      <w:r>
        <w:rPr>
          <w:rFonts w:ascii="Times New Roman" w:hAnsi="Times New Roman" w:eastAsia="Times New Roman"/>
          <w:b w:val="0"/>
          <w:sz w:val="24"/>
        </w:rPr>
        <w:t xml:space="preserve">, </w:t>
      </w:r>
      <w:r>
        <w:rPr>
          <w:rFonts w:ascii="Times New Roman" w:hAnsi="Times New Roman" w:eastAsia="Times New Roman"/>
          <w:b w:val="0"/>
          <w:i/>
          <w:sz w:val="24"/>
        </w:rPr>
        <w:t>51</w:t>
      </w:r>
      <w:r>
        <w:rPr>
          <w:rFonts w:ascii="Times New Roman" w:hAnsi="Times New Roman" w:eastAsia="Times New Roman"/>
          <w:b w:val="0"/>
          <w:sz w:val="24"/>
        </w:rPr>
        <w:t>. https://doi.org/10.1590/s1980-220x2017005003284</w:t>
      </w:r>
    </w:p>
    <w:p>
      <w:pPr>
        <w:spacing w:line="480" w:lineRule="auto"/>
        <w:ind w:left="720" w:hanging="720"/>
        <w:jc w:val="left"/>
      </w:pPr>
      <w:r>
        <w:rPr>
          <w:rFonts w:ascii="Times New Roman" w:hAnsi="Times New Roman" w:eastAsia="Times New Roman"/>
          <w:b w:val="0"/>
          <w:sz w:val="24"/>
        </w:rPr>
        <w:t xml:space="preserve">Hasan, I., Arshad, A., Rahim, N., &amp; Soo, P. (2020). Vasovagal reaction among whole blood donors in Hospital Pulau Pinang. A statistical-epidemiological study. </w:t>
      </w:r>
      <w:r>
        <w:rPr>
          <w:rFonts w:ascii="Times New Roman" w:hAnsi="Times New Roman" w:eastAsia="Times New Roman"/>
          <w:b w:val="0"/>
          <w:i/>
          <w:sz w:val="24"/>
        </w:rPr>
        <w:t>Asian Journal of Transfusion Science</w:t>
      </w:r>
      <w:r>
        <w:rPr>
          <w:rFonts w:ascii="Times New Roman" w:hAnsi="Times New Roman" w:eastAsia="Times New Roman"/>
          <w:b w:val="0"/>
          <w:sz w:val="24"/>
        </w:rPr>
        <w:t xml:space="preserve">, </w:t>
      </w:r>
      <w:r>
        <w:rPr>
          <w:rFonts w:ascii="Times New Roman" w:hAnsi="Times New Roman" w:eastAsia="Times New Roman"/>
          <w:b w:val="0"/>
          <w:i/>
          <w:sz w:val="24"/>
        </w:rPr>
        <w:t>14</w:t>
      </w:r>
      <w:r>
        <w:rPr>
          <w:rFonts w:ascii="Times New Roman" w:hAnsi="Times New Roman" w:eastAsia="Times New Roman"/>
          <w:b w:val="0"/>
          <w:sz w:val="24"/>
        </w:rPr>
        <w:t>(1), 28. https://doi.org/10.4103/ajts.ajts_111_17</w:t>
      </w:r>
    </w:p>
    <w:p>
      <w:pPr>
        <w:spacing w:line="480" w:lineRule="auto"/>
        <w:ind w:left="720" w:hanging="720"/>
        <w:jc w:val="left"/>
      </w:pPr>
      <w:r>
        <w:rPr>
          <w:rFonts w:ascii="Times New Roman" w:hAnsi="Times New Roman" w:eastAsia="Times New Roman"/>
          <w:b w:val="0"/>
          <w:sz w:val="24"/>
        </w:rPr>
        <w:t xml:space="preserve">Ibrahim, N. N., Mohd Noor, N. H., &amp; Zulkafli, Z. (2023). Prevalence and factors associated with vasovagal reaction among whole blood donors in hospital Universiti Sains Malaysia. </w:t>
      </w:r>
      <w:r>
        <w:rPr>
          <w:rFonts w:ascii="Times New Roman" w:hAnsi="Times New Roman" w:eastAsia="Times New Roman"/>
          <w:b w:val="0"/>
          <w:i/>
          <w:sz w:val="24"/>
        </w:rPr>
        <w:t>Transfusion Clinique et Biologique</w:t>
      </w:r>
      <w:r>
        <w:rPr>
          <w:rFonts w:ascii="Times New Roman" w:hAnsi="Times New Roman" w:eastAsia="Times New Roman"/>
          <w:b w:val="0"/>
          <w:sz w:val="24"/>
        </w:rPr>
        <w:t xml:space="preserve">, </w:t>
      </w:r>
      <w:r>
        <w:rPr>
          <w:rFonts w:ascii="Times New Roman" w:hAnsi="Times New Roman" w:eastAsia="Times New Roman"/>
          <w:b w:val="0"/>
          <w:i/>
          <w:sz w:val="24"/>
        </w:rPr>
        <w:t>30</w:t>
      </w:r>
      <w:r>
        <w:rPr>
          <w:rFonts w:ascii="Times New Roman" w:hAnsi="Times New Roman" w:eastAsia="Times New Roman"/>
          <w:b w:val="0"/>
          <w:sz w:val="24"/>
        </w:rPr>
        <w:t>(2), 238-243. https://doi.org/10.1016/j.tracli.2023.01.004</w:t>
      </w:r>
    </w:p>
    <w:p>
      <w:pPr>
        <w:spacing w:line="480" w:lineRule="auto"/>
        <w:ind w:left="720" w:hanging="720"/>
        <w:jc w:val="left"/>
      </w:pPr>
      <w:r>
        <w:rPr>
          <w:rFonts w:ascii="Times New Roman" w:hAnsi="Times New Roman" w:eastAsia="Times New Roman"/>
          <w:b w:val="0"/>
          <w:sz w:val="24"/>
        </w:rPr>
        <w:t xml:space="preserve">Kumatagi, S. H., Akash, J., Rajendran, V., Nair, A. R., &amp; Gupta, D. (2025). A follow-up study of blood donors with vasovagal reaction – Three years’ experience. </w:t>
      </w:r>
      <w:r>
        <w:rPr>
          <w:rFonts w:ascii="Times New Roman" w:hAnsi="Times New Roman" w:eastAsia="Times New Roman"/>
          <w:b w:val="0"/>
          <w:i/>
          <w:sz w:val="24"/>
        </w:rPr>
        <w:t>Asian Journal of Transfusion Science</w:t>
      </w:r>
      <w:r>
        <w:rPr>
          <w:rFonts w:ascii="Times New Roman" w:hAnsi="Times New Roman" w:eastAsia="Times New Roman"/>
          <w:b w:val="0"/>
          <w:sz w:val="24"/>
        </w:rPr>
        <w:t xml:space="preserve">, </w:t>
      </w:r>
      <w:r>
        <w:rPr>
          <w:rFonts w:ascii="Times New Roman" w:hAnsi="Times New Roman" w:eastAsia="Times New Roman"/>
          <w:b w:val="0"/>
          <w:i/>
          <w:sz w:val="24"/>
        </w:rPr>
        <w:t>19</w:t>
      </w:r>
      <w:r>
        <w:rPr>
          <w:rFonts w:ascii="Times New Roman" w:hAnsi="Times New Roman" w:eastAsia="Times New Roman"/>
          <w:b w:val="0"/>
          <w:sz w:val="24"/>
        </w:rPr>
        <w:t>(2), 213-216. https://doi.org/10.4103/ajts.ajts_240_23</w:t>
      </w:r>
    </w:p>
    <w:p>
      <w:pPr>
        <w:spacing w:line="480" w:lineRule="auto"/>
        <w:ind w:left="720" w:hanging="720"/>
        <w:jc w:val="left"/>
      </w:pPr>
      <w:r>
        <w:rPr>
          <w:rFonts w:ascii="Times New Roman" w:hAnsi="Times New Roman" w:eastAsia="Times New Roman"/>
          <w:b w:val="0"/>
          <w:sz w:val="24"/>
        </w:rPr>
        <w:t xml:space="preserve">Mani, A., &amp; Gupta, D. (2021). Hemovigilance. </w:t>
      </w:r>
      <w:r>
        <w:rPr>
          <w:rFonts w:ascii="Times New Roman" w:hAnsi="Times New Roman" w:eastAsia="Times New Roman"/>
          <w:b w:val="0"/>
          <w:i/>
          <w:sz w:val="24"/>
        </w:rPr>
        <w:t>Global Journal of Transfusion Medicine</w:t>
      </w:r>
      <w:r>
        <w:rPr>
          <w:rFonts w:ascii="Times New Roman" w:hAnsi="Times New Roman" w:eastAsia="Times New Roman"/>
          <w:b w:val="0"/>
          <w:sz w:val="24"/>
        </w:rPr>
        <w:t xml:space="preserve">, </w:t>
      </w:r>
      <w:r>
        <w:rPr>
          <w:rFonts w:ascii="Times New Roman" w:hAnsi="Times New Roman" w:eastAsia="Times New Roman"/>
          <w:b w:val="0"/>
          <w:i/>
          <w:sz w:val="24"/>
        </w:rPr>
        <w:t>6</w:t>
      </w:r>
      <w:r>
        <w:rPr>
          <w:rFonts w:ascii="Times New Roman" w:hAnsi="Times New Roman" w:eastAsia="Times New Roman"/>
          <w:b w:val="0"/>
          <w:sz w:val="24"/>
        </w:rPr>
        <w:t>(1), 15-21. https://doi.org/10.4103/gjtm.gjtm_104_20</w:t>
      </w:r>
    </w:p>
    <w:p>
      <w:pPr>
        <w:spacing w:line="480" w:lineRule="auto"/>
        <w:ind w:left="720" w:hanging="720"/>
        <w:jc w:val="left"/>
      </w:pPr>
      <w:r>
        <w:rPr>
          <w:rFonts w:ascii="Times New Roman" w:hAnsi="Times New Roman" w:eastAsia="Times New Roman"/>
          <w:b w:val="0"/>
          <w:sz w:val="24"/>
        </w:rPr>
        <w:t xml:space="preserve">Meher, R., Patidar, G. K., Chaurasia, R., Pandey, H. C., &amp; Hazarika, A. (2024). Prevention strategies for vasovagal reaction in whole blood donors: A quadri‐armed randomised control trial. </w:t>
      </w:r>
      <w:r>
        <w:rPr>
          <w:rFonts w:ascii="Times New Roman" w:hAnsi="Times New Roman" w:eastAsia="Times New Roman"/>
          <w:b w:val="0"/>
          <w:i/>
          <w:sz w:val="24"/>
        </w:rPr>
        <w:t>Transfusion Medicine</w:t>
      </w:r>
      <w:r>
        <w:rPr>
          <w:rFonts w:ascii="Times New Roman" w:hAnsi="Times New Roman" w:eastAsia="Times New Roman"/>
          <w:b w:val="0"/>
          <w:sz w:val="24"/>
        </w:rPr>
        <w:t xml:space="preserve">, </w:t>
      </w:r>
      <w:r>
        <w:rPr>
          <w:rFonts w:ascii="Times New Roman" w:hAnsi="Times New Roman" w:eastAsia="Times New Roman"/>
          <w:b w:val="0"/>
          <w:i/>
          <w:sz w:val="24"/>
        </w:rPr>
        <w:t>34</w:t>
      </w:r>
      <w:r>
        <w:rPr>
          <w:rFonts w:ascii="Times New Roman" w:hAnsi="Times New Roman" w:eastAsia="Times New Roman"/>
          <w:b w:val="0"/>
          <w:sz w:val="24"/>
        </w:rPr>
        <w:t>(1), 20-29. https://doi.org/10.1111/tme.13026</w:t>
      </w:r>
    </w:p>
    <w:p>
      <w:pPr>
        <w:spacing w:line="480" w:lineRule="auto"/>
        <w:ind w:left="720" w:hanging="720"/>
        <w:jc w:val="left"/>
      </w:pPr>
      <w:r>
        <w:rPr>
          <w:rFonts w:ascii="Times New Roman" w:hAnsi="Times New Roman" w:eastAsia="Times New Roman"/>
          <w:b w:val="0"/>
          <w:sz w:val="24"/>
        </w:rPr>
        <w:t xml:space="preserve">Patel, P., Rajendran, V., Nair, A. R., &amp; Gupta, D. (2026). A study to assess and grade the donor adverse events using the severity grading tool of hemovigilance program of India. </w:t>
      </w:r>
      <w:r>
        <w:rPr>
          <w:rFonts w:ascii="Times New Roman" w:hAnsi="Times New Roman" w:eastAsia="Times New Roman"/>
          <w:b w:val="0"/>
          <w:i/>
          <w:sz w:val="24"/>
        </w:rPr>
        <w:t>Asian Journal of Transfusion Science</w:t>
      </w:r>
      <w:r>
        <w:rPr>
          <w:rFonts w:ascii="Times New Roman" w:hAnsi="Times New Roman" w:eastAsia="Times New Roman"/>
          <w:b w:val="0"/>
          <w:sz w:val="24"/>
        </w:rPr>
        <w:t xml:space="preserve">, </w:t>
      </w:r>
      <w:r>
        <w:rPr>
          <w:rFonts w:ascii="Times New Roman" w:hAnsi="Times New Roman" w:eastAsia="Times New Roman"/>
          <w:b w:val="0"/>
          <w:i/>
          <w:sz w:val="24"/>
        </w:rPr>
        <w:t>20</w:t>
      </w:r>
      <w:r>
        <w:rPr>
          <w:rFonts w:ascii="Times New Roman" w:hAnsi="Times New Roman" w:eastAsia="Times New Roman"/>
          <w:b w:val="0"/>
          <w:sz w:val="24"/>
        </w:rPr>
        <w:t>(1), 50-57. https://doi.org/10.4103/ajts.ajts_154_24</w:t>
      </w:r>
    </w:p>
    <w:p>
      <w:pPr>
        <w:spacing w:line="480" w:lineRule="auto"/>
        <w:ind w:left="720" w:hanging="720"/>
        <w:jc w:val="left"/>
      </w:pPr>
      <w:r>
        <w:rPr>
          <w:rFonts w:ascii="Times New Roman" w:hAnsi="Times New Roman" w:eastAsia="Times New Roman"/>
          <w:b w:val="0"/>
          <w:sz w:val="24"/>
        </w:rPr>
        <w:t xml:space="preserve">Savaliya, S. M., Singh, A. P., &amp; Piparva, K. G. (2019). A donor hemovigilance study: evaluation of adverse reactions to blood donors at tertiary care teaching hospital. </w:t>
      </w:r>
      <w:r>
        <w:rPr>
          <w:rFonts w:ascii="Times New Roman" w:hAnsi="Times New Roman" w:eastAsia="Times New Roman"/>
          <w:b w:val="0"/>
          <w:i/>
          <w:sz w:val="24"/>
        </w:rPr>
        <w:t>International Journal of Basic &amp; Clinical Pharmacology</w:t>
      </w:r>
      <w:r>
        <w:rPr>
          <w:rFonts w:ascii="Times New Roman" w:hAnsi="Times New Roman" w:eastAsia="Times New Roman"/>
          <w:b w:val="0"/>
          <w:sz w:val="24"/>
        </w:rPr>
        <w:t xml:space="preserve">, </w:t>
      </w:r>
      <w:r>
        <w:rPr>
          <w:rFonts w:ascii="Times New Roman" w:hAnsi="Times New Roman" w:eastAsia="Times New Roman"/>
          <w:b w:val="0"/>
          <w:i/>
          <w:sz w:val="24"/>
        </w:rPr>
        <w:t>8</w:t>
      </w:r>
      <w:r>
        <w:rPr>
          <w:rFonts w:ascii="Times New Roman" w:hAnsi="Times New Roman" w:eastAsia="Times New Roman"/>
          <w:b w:val="0"/>
          <w:sz w:val="24"/>
        </w:rPr>
        <w:t>(7), 1538. https://doi.org/10.18203/2319-2003.ijbcp20192647</w:t>
      </w:r>
    </w:p>
    <w:p>
      <w:pPr>
        <w:spacing w:line="480" w:lineRule="auto"/>
        <w:ind w:left="720" w:hanging="720"/>
        <w:jc w:val="left"/>
      </w:pPr>
      <w:r>
        <w:rPr>
          <w:rFonts w:ascii="Times New Roman" w:hAnsi="Times New Roman" w:eastAsia="Times New Roman"/>
          <w:b w:val="0"/>
          <w:sz w:val="24"/>
        </w:rPr>
        <w:t xml:space="preserve">Silveira, Z. P., &amp; Bomfim, V. V. B. D. S. (2022). ASSISTÊNCIA DE ENFERMAGEM NA DOAÇÃO E TRANSFUSÃO DE SANGUE. </w:t>
      </w:r>
      <w:r>
        <w:rPr>
          <w:rFonts w:ascii="Times New Roman" w:hAnsi="Times New Roman" w:eastAsia="Times New Roman"/>
          <w:b w:val="0"/>
          <w:i/>
          <w:sz w:val="24"/>
        </w:rPr>
        <w:t>Enfermagem em Foco - Pesquisa Brasil</w:t>
      </w:r>
      <w:r>
        <w:rPr>
          <w:rFonts w:ascii="Times New Roman" w:hAnsi="Times New Roman" w:eastAsia="Times New Roman"/>
          <w:b w:val="0"/>
          <w:sz w:val="24"/>
        </w:rPr>
        <w:t>, 41-47. https://doi.org/10.29327/569347.1-5</w:t>
      </w:r>
    </w:p>
    <w:p>
      <w:pPr>
        <w:spacing w:line="480" w:lineRule="auto"/>
        <w:ind w:left="720" w:hanging="720"/>
        <w:jc w:val="left"/>
      </w:pPr>
      <w:r>
        <w:rPr>
          <w:rFonts w:ascii="Times New Roman" w:hAnsi="Times New Roman" w:eastAsia="Times New Roman"/>
          <w:b w:val="0"/>
          <w:sz w:val="24"/>
        </w:rPr>
        <w:t xml:space="preserve">Thijsen, A., Thorpe, R., Davison, T. E., Nguyen, L., &amp; Masser, B. (2021). The vasovagal reaction experience among blood donors: A qualitative study of factors that affect donor return. </w:t>
      </w:r>
      <w:r>
        <w:rPr>
          <w:rFonts w:ascii="Times New Roman" w:hAnsi="Times New Roman" w:eastAsia="Times New Roman"/>
          <w:b w:val="0"/>
          <w:i/>
          <w:sz w:val="24"/>
        </w:rPr>
        <w:t>Social Science &amp; Medicine</w:t>
      </w:r>
      <w:r>
        <w:rPr>
          <w:rFonts w:ascii="Times New Roman" w:hAnsi="Times New Roman" w:eastAsia="Times New Roman"/>
          <w:b w:val="0"/>
          <w:sz w:val="24"/>
        </w:rPr>
        <w:t xml:space="preserve">, </w:t>
      </w:r>
      <w:r>
        <w:rPr>
          <w:rFonts w:ascii="Times New Roman" w:hAnsi="Times New Roman" w:eastAsia="Times New Roman"/>
          <w:b w:val="0"/>
          <w:i/>
          <w:sz w:val="24"/>
        </w:rPr>
        <w:t>282</w:t>
      </w:r>
      <w:r>
        <w:rPr>
          <w:rFonts w:ascii="Times New Roman" w:hAnsi="Times New Roman" w:eastAsia="Times New Roman"/>
          <w:b w:val="0"/>
          <w:sz w:val="24"/>
        </w:rPr>
        <w:t>, 114142. https://doi.org/10.1016/j.socscimed.2021.114142</w:t>
      </w:r>
    </w:p>
    <w:p>
      <w:pPr>
        <w:spacing w:line="480" w:lineRule="auto"/>
        <w:ind w:left="720" w:hanging="720"/>
        <w:jc w:val="left"/>
      </w:pPr>
      <w:r>
        <w:rPr>
          <w:rFonts w:ascii="Times New Roman" w:hAnsi="Times New Roman" w:eastAsia="Times New Roman"/>
          <w:b w:val="0"/>
          <w:sz w:val="24"/>
        </w:rPr>
        <w:t xml:space="preserve">Thijsen, A., Gemelli, C. N., Davison, T. E., &amp; Masser, B. (2022). Using the Health Action Process Approach to predict blood donation intentions and return behavior following a vasovagal reaction for whole blood and plasma donors. </w:t>
      </w:r>
      <w:r>
        <w:rPr>
          <w:rFonts w:ascii="Times New Roman" w:hAnsi="Times New Roman" w:eastAsia="Times New Roman"/>
          <w:b w:val="0"/>
          <w:i/>
          <w:sz w:val="24"/>
        </w:rPr>
        <w:t>Transfusion</w:t>
      </w:r>
      <w:r>
        <w:rPr>
          <w:rFonts w:ascii="Times New Roman" w:hAnsi="Times New Roman" w:eastAsia="Times New Roman"/>
          <w:b w:val="0"/>
          <w:sz w:val="24"/>
        </w:rPr>
        <w:t xml:space="preserve">, </w:t>
      </w:r>
      <w:r>
        <w:rPr>
          <w:rFonts w:ascii="Times New Roman" w:hAnsi="Times New Roman" w:eastAsia="Times New Roman"/>
          <w:b w:val="0"/>
          <w:i/>
          <w:sz w:val="24"/>
        </w:rPr>
        <w:t>62</w:t>
      </w:r>
      <w:r>
        <w:rPr>
          <w:rFonts w:ascii="Times New Roman" w:hAnsi="Times New Roman" w:eastAsia="Times New Roman"/>
          <w:b w:val="0"/>
          <w:sz w:val="24"/>
        </w:rPr>
        <w:t>(9), 1791-1798. https://doi.org/10.1111/trf.17052</w:t>
      </w:r>
    </w:p>
    <w:p>
      <w:pPr>
        <w:spacing w:line="480" w:lineRule="auto"/>
        <w:ind w:left="720" w:hanging="720"/>
        <w:jc w:val="left"/>
      </w:pPr>
      <w:r>
        <w:rPr>
          <w:rFonts w:ascii="Times New Roman" w:hAnsi="Times New Roman" w:eastAsia="Times New Roman"/>
          <w:b w:val="0"/>
          <w:sz w:val="24"/>
        </w:rPr>
        <w:t xml:space="preserve">Thijsen, A., Masser, B., Davison, T. E., van Dongen, A., &amp; Williams, L. A. (2023). Beyond fear: A longitudinal investigation of emotions and risk of a vasovagal reaction in first‐time whole‐blood donors. </w:t>
      </w:r>
      <w:r>
        <w:rPr>
          <w:rFonts w:ascii="Times New Roman" w:hAnsi="Times New Roman" w:eastAsia="Times New Roman"/>
          <w:b w:val="0"/>
          <w:i/>
          <w:sz w:val="24"/>
        </w:rPr>
        <w:t>Transfusion</w:t>
      </w:r>
      <w:r>
        <w:rPr>
          <w:rFonts w:ascii="Times New Roman" w:hAnsi="Times New Roman" w:eastAsia="Times New Roman"/>
          <w:b w:val="0"/>
          <w:sz w:val="24"/>
        </w:rPr>
        <w:t xml:space="preserve">, </w:t>
      </w:r>
      <w:r>
        <w:rPr>
          <w:rFonts w:ascii="Times New Roman" w:hAnsi="Times New Roman" w:eastAsia="Times New Roman"/>
          <w:b w:val="0"/>
          <w:i/>
          <w:sz w:val="24"/>
        </w:rPr>
        <w:t>63</w:t>
      </w:r>
      <w:r>
        <w:rPr>
          <w:rFonts w:ascii="Times New Roman" w:hAnsi="Times New Roman" w:eastAsia="Times New Roman"/>
          <w:b w:val="0"/>
          <w:sz w:val="24"/>
        </w:rPr>
        <w:t>(1), 163-170. https://doi.org/10.1111/trf.17169</w:t>
      </w:r>
    </w:p>
    <w:p>
      <w:pPr>
        <w:spacing w:line="480" w:lineRule="auto"/>
        <w:jc w:val="center"/>
      </w:pPr>
      <w:r>
        <w:rPr>
          <w:rFonts w:ascii="Times New Roman" w:hAnsi="Times New Roman" w:eastAsia="Times New Roman"/>
          <w:b/>
          <w:sz w:val="24"/>
        </w:rPr>
        <w:t>Apêndice A</w:t>
      </w:r>
    </w:p>
    <w:p>
      <w:pPr>
        <w:spacing w:line="480" w:lineRule="auto"/>
        <w:jc w:val="left"/>
      </w:pPr>
      <w:r>
        <w:rPr>
          <w:rFonts w:ascii="Times New Roman" w:hAnsi="Times New Roman" w:eastAsia="Times New Roman"/>
          <w:b/>
          <w:sz w:val="24"/>
        </w:rPr>
        <w:t>Declarações para submissão</w:t>
      </w:r>
    </w:p>
    <w:p>
      <w:pPr>
        <w:spacing w:line="480" w:lineRule="auto"/>
        <w:ind w:firstLine="720"/>
        <w:jc w:val="both"/>
      </w:pPr>
      <w:r>
        <w:rPr>
          <w:rFonts w:ascii="Times New Roman" w:hAnsi="Times New Roman" w:eastAsia="Times New Roman"/>
          <w:b w:val="0"/>
          <w:sz w:val="24"/>
        </w:rPr>
        <w:t xml:space="preserve">- </w:t>
      </w:r>
      <w:r>
        <w:rPr>
          <w:rFonts w:ascii="Times New Roman" w:hAnsi="Times New Roman" w:eastAsia="Times New Roman"/>
          <w:b/>
          <w:sz w:val="24"/>
        </w:rPr>
        <w:t>Originalidade:</w:t>
      </w:r>
      <w:r>
        <w:rPr>
          <w:rFonts w:ascii="Times New Roman" w:hAnsi="Times New Roman" w:eastAsia="Times New Roman"/>
          <w:b w:val="0"/>
          <w:sz w:val="24"/>
        </w:rPr>
        <w:t xml:space="preserve"> O manuscrito é original, não foi publicado e não está sob avaliação simultânea em outro periódico.</w:t>
      </w:r>
    </w:p>
    <w:p>
      <w:pPr>
        <w:spacing w:line="480" w:lineRule="auto"/>
        <w:ind w:firstLine="720"/>
        <w:jc w:val="both"/>
      </w:pPr>
      <w:r>
        <w:rPr>
          <w:rFonts w:ascii="Times New Roman" w:hAnsi="Times New Roman" w:eastAsia="Times New Roman"/>
          <w:b w:val="0"/>
          <w:sz w:val="24"/>
        </w:rPr>
        <w:t xml:space="preserve">- </w:t>
      </w:r>
      <w:r>
        <w:rPr>
          <w:rFonts w:ascii="Times New Roman" w:hAnsi="Times New Roman" w:eastAsia="Times New Roman"/>
          <w:b/>
          <w:sz w:val="24"/>
        </w:rPr>
        <w:t>Ética:</w:t>
      </w:r>
      <w:r>
        <w:rPr>
          <w:rFonts w:ascii="Times New Roman" w:hAnsi="Times New Roman" w:eastAsia="Times New Roman"/>
          <w:b w:val="0"/>
          <w:sz w:val="24"/>
        </w:rPr>
        <w:t xml:space="preserve"> Trata-se de revisão narrativa de literatura publicada. Não houve coleta de dados primários com participantes humanos ou animais; portanto, não se aplica aprovação por comitê de ética em pesquisa.</w:t>
      </w:r>
    </w:p>
    <w:p>
      <w:pPr>
        <w:spacing w:line="480" w:lineRule="auto"/>
        <w:ind w:firstLine="720"/>
        <w:jc w:val="both"/>
      </w:pPr>
      <w:r>
        <w:rPr>
          <w:rFonts w:ascii="Times New Roman" w:hAnsi="Times New Roman" w:eastAsia="Times New Roman"/>
          <w:b w:val="0"/>
          <w:sz w:val="24"/>
        </w:rPr>
        <w:t xml:space="preserve">- </w:t>
      </w:r>
      <w:r>
        <w:rPr>
          <w:rFonts w:ascii="Times New Roman" w:hAnsi="Times New Roman" w:eastAsia="Times New Roman"/>
          <w:b/>
          <w:sz w:val="24"/>
        </w:rPr>
        <w:t>Disponibilidade de dados:</w:t>
      </w:r>
      <w:r>
        <w:rPr>
          <w:rFonts w:ascii="Times New Roman" w:hAnsi="Times New Roman" w:eastAsia="Times New Roman"/>
          <w:b w:val="0"/>
          <w:sz w:val="24"/>
        </w:rPr>
        <w:t xml:space="preserve"> Não se aplica (revisão narrativa sem dados primários).</w:t>
      </w:r>
    </w:p>
    <w:p>
      <w:pPr>
        <w:spacing w:line="480" w:lineRule="auto"/>
        <w:ind w:firstLine="720"/>
        <w:jc w:val="both"/>
      </w:pPr>
      <w:r>
        <w:rPr>
          <w:rFonts w:ascii="Times New Roman" w:hAnsi="Times New Roman" w:eastAsia="Times New Roman"/>
          <w:b w:val="0"/>
          <w:sz w:val="24"/>
        </w:rPr>
        <w:t xml:space="preserve">- </w:t>
      </w:r>
      <w:r>
        <w:rPr>
          <w:rFonts w:ascii="Times New Roman" w:hAnsi="Times New Roman" w:eastAsia="Times New Roman"/>
          <w:b/>
          <w:sz w:val="24"/>
        </w:rPr>
        <w:t>Contribuições CRediT:</w:t>
      </w:r>
      <w:r>
        <w:rPr>
          <w:rFonts w:ascii="Times New Roman" w:hAnsi="Times New Roman" w:eastAsia="Times New Roman"/>
          <w:b w:val="0"/>
          <w:sz w:val="24"/>
        </w:rPr>
        <w:t xml:space="preserve"> Conceitualização, metodologia, investigação, redação — rascunho original e revisão: Antonio Augusto Dornelas de Andrade.</w:t>
      </w:r>
    </w:p>
    <w:p>
      <w:pPr>
        <w:spacing w:line="480" w:lineRule="auto"/>
        <w:ind w:firstLine="720"/>
        <w:jc w:val="both"/>
      </w:pPr>
      <w:r>
        <w:rPr>
          <w:rFonts w:ascii="Times New Roman" w:hAnsi="Times New Roman" w:eastAsia="Times New Roman"/>
          <w:b w:val="0"/>
          <w:sz w:val="24"/>
        </w:rPr>
        <w:t xml:space="preserve">- </w:t>
      </w:r>
      <w:r>
        <w:rPr>
          <w:rFonts w:ascii="Times New Roman" w:hAnsi="Times New Roman" w:eastAsia="Times New Roman"/>
          <w:b/>
          <w:sz w:val="24"/>
        </w:rPr>
        <w:t>Revista-alvo sugerida:</w:t>
      </w:r>
      <w:r>
        <w:rPr>
          <w:rFonts w:ascii="Times New Roman" w:hAnsi="Times New Roman" w:eastAsia="Times New Roman"/>
          <w:b w:val="0"/>
          <w:sz w:val="24"/>
        </w:rPr>
        <w:t xml:space="preserve"> Hematology, Transfusion and Cell Therapy.</w:t>
      </w:r>
    </w:p>
    <w:p>
      <w:pPr>
        <w:spacing w:line="480" w:lineRule="auto"/>
        <w:ind w:firstLine="720"/>
        <w:jc w:val="both"/>
      </w:pPr>
      <w:r>
        <w:rPr>
          <w:rFonts w:ascii="Times New Roman" w:hAnsi="Times New Roman" w:eastAsia="Times New Roman"/>
          <w:b w:val="0"/>
          <w:sz w:val="24"/>
        </w:rPr>
        <w:t xml:space="preserve">- </w:t>
      </w:r>
      <w:r>
        <w:rPr>
          <w:rFonts w:ascii="Times New Roman" w:hAnsi="Times New Roman" w:eastAsia="Times New Roman"/>
          <w:b/>
          <w:sz w:val="24"/>
        </w:rPr>
        <w:t>Data de geração do pacote:</w:t>
      </w:r>
      <w:r>
        <w:rPr>
          <w:rFonts w:ascii="Times New Roman" w:hAnsi="Times New Roman" w:eastAsia="Times New Roman"/>
          <w:b w:val="0"/>
          <w:sz w:val="24"/>
        </w:rPr>
        <w:t xml:space="preserve"> 2026-08-01.</w:t>
      </w:r>
    </w:p>
    <w:p>
      <w:pPr>
        <w:spacing w:line="480" w:lineRule="auto"/>
        <w:jc w:val="center"/>
      </w:pPr>
      <w:r>
        <w:rPr>
          <w:rFonts w:ascii="Times New Roman" w:hAnsi="Times New Roman" w:eastAsia="Times New Roman"/>
          <w:b/>
          <w:sz w:val="24"/>
        </w:rPr>
        <w:t>Apêndice B</w:t>
      </w:r>
    </w:p>
    <w:p>
      <w:pPr>
        <w:spacing w:line="480" w:lineRule="auto"/>
        <w:jc w:val="left"/>
      </w:pPr>
      <w:r>
        <w:rPr>
          <w:rFonts w:ascii="Times New Roman" w:hAnsi="Times New Roman" w:eastAsia="Times New Roman"/>
          <w:b/>
          <w:sz w:val="24"/>
        </w:rPr>
        <w:t>Materiais suplementares do pipeline</w:t>
      </w:r>
    </w:p>
    <w:p>
      <w:pPr>
        <w:spacing w:line="480" w:lineRule="auto"/>
        <w:ind w:firstLine="720"/>
        <w:jc w:val="both"/>
      </w:pPr>
      <w:r>
        <w:rPr>
          <w:rFonts w:ascii="Times New Roman" w:hAnsi="Times New Roman" w:eastAsia="Times New Roman"/>
          <w:b w:val="0"/>
          <w:sz w:val="24"/>
        </w:rPr>
        <w:t>Arquivos auxiliares gerados nesta execução: `references.bib`, `references.ris`, `verification_report.json`, `revision_log.json`, `cover_letter.md`.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Reações adversas na doação de sangue e o papel da enfermagem: revisão narrativa da evidência recente</dc:title>
  <dc:subject/>
  <dc:creator>Antonio Augusto Dornelas de Andrade</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