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sz w:val="24"/>
        </w:rPr>
        <w:t>Motivação, retenção e fidelização de doadores de sangue: implicações para a enfermagem em serviços de hemoterapia</w:t>
      </w:r>
    </w:p>
    <w:p>
      <w:pPr>
        <w:spacing w:line="480" w:lineRule="auto"/>
        <w:ind w:firstLine="720"/>
        <w:jc w:val="both"/>
      </w:pPr>
      <w:r>
        <w:rPr>
          <w:rFonts w:ascii="Times New Roman" w:hAnsi="Times New Roman" w:eastAsia="Times New Roman"/>
          <w:b w:val="0"/>
          <w:sz w:val="24"/>
        </w:rPr>
        <w:t>Antonio Augusto Dornelas de Andrade</w:t>
      </w:r>
    </w:p>
    <w:p>
      <w:pPr>
        <w:spacing w:line="480" w:lineRule="auto"/>
        <w:ind w:firstLine="720"/>
        <w:jc w:val="both"/>
      </w:pPr>
      <w:r>
        <w:rPr>
          <w:rFonts w:ascii="Times New Roman" w:hAnsi="Times New Roman" w:eastAsia="Times New Roman"/>
          <w:b w:val="0"/>
          <w:sz w:val="24"/>
        </w:rPr>
        <w:t>Pesquisador independente</w:t>
      </w:r>
    </w:p>
    <w:p>
      <w:pPr>
        <w:spacing w:line="480" w:lineRule="auto"/>
        <w:ind w:firstLine="720"/>
        <w:jc w:val="both"/>
      </w:pPr>
      <w:r>
        <w:rPr>
          <w:rFonts w:ascii="Times New Roman" w:hAnsi="Times New Roman" w:eastAsia="Times New Roman"/>
          <w:b w:val="0"/>
          <w:sz w:val="24"/>
        </w:rPr>
        <w:t>ORCID: https://orcid.org/0009-0001-3556-483X</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Nota do autor</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Correspondência: Antonio Augusto Dornelas de Andrade, antonioandradepy@gmail.com.</w:t>
      </w:r>
    </w:p>
    <w:p>
      <w:pPr>
        <w:spacing w:line="480" w:lineRule="auto"/>
        <w:ind w:firstLine="720"/>
        <w:jc w:val="both"/>
      </w:pPr>
      <w:r>
        <w:rPr>
          <w:rFonts w:ascii="Times New Roman" w:hAnsi="Times New Roman" w:eastAsia="Times New Roman"/>
          <w:b w:val="0"/>
          <w:sz w:val="24"/>
        </w:rPr>
        <w:t>Financiamento: Esta revisão não recebeu financiamento externo específico.</w:t>
      </w:r>
    </w:p>
    <w:p>
      <w:pPr>
        <w:spacing w:line="480" w:lineRule="auto"/>
        <w:ind w:firstLine="720"/>
        <w:jc w:val="both"/>
      </w:pPr>
      <w:r>
        <w:rPr>
          <w:rFonts w:ascii="Times New Roman" w:hAnsi="Times New Roman" w:eastAsia="Times New Roman"/>
          <w:b w:val="0"/>
          <w:sz w:val="24"/>
        </w:rPr>
        <w:t>Conflitos de interesse: O autor declara não haver conflitos de interesse.</w:t>
      </w:r>
    </w:p>
    <w:p>
      <w:pPr>
        <w:spacing w:line="480" w:lineRule="auto"/>
        <w:ind w:firstLine="720"/>
        <w:jc w:val="both"/>
      </w:pPr>
      <w:r>
        <w:rPr>
          <w:rFonts w:ascii="Times New Roman" w:hAnsi="Times New Roman" w:eastAsia="Times New Roman"/>
          <w:b w:val="0"/>
          <w:sz w:val="24"/>
        </w:rPr>
        <w:t>Ética: Trata-se de revisão narrativa de literatura publicada. Não houve coleta de dados primários com participantes humanos ou animais; portanto, não se aplica aprovação por comitê de ética em pesquisa.</w:t>
      </w:r>
    </w:p>
    <w:p>
      <w:pPr>
        <w:spacing w:line="480" w:lineRule="auto"/>
        <w:jc w:val="center"/>
      </w:pPr>
      <w:r>
        <w:rPr>
          <w:rFonts w:ascii="Times New Roman" w:hAnsi="Times New Roman" w:eastAsia="Times New Roman"/>
          <w:b/>
          <w:sz w:val="24"/>
        </w:rPr>
        <w:t>Resumo</w:t>
      </w:r>
    </w:p>
    <w:p>
      <w:pPr>
        <w:spacing w:line="480" w:lineRule="auto"/>
        <w:ind w:firstLine="720"/>
        <w:jc w:val="both"/>
      </w:pPr>
      <w:r>
        <w:rPr>
          <w:rFonts w:ascii="Times New Roman" w:hAnsi="Times New Roman" w:eastAsia="Times New Roman"/>
          <w:b w:val="0"/>
          <w:sz w:val="24"/>
        </w:rPr>
        <w:t>A sustentabilidade do estoque de sangue depende da conversão da primeira doação em uma sequência de retornos, e não apenas da captação de novatos. Este artigo apresenta revisão narrativa de evidências indexadas, com DOIs validados na CrossRef, sobre motivadores e barreiras da doação, preditores de retorno, intervenções de retenção e implicações para a enfermagem em serviços de hemoterapia. Revisões sistemáticas e meta-análises organizam motivadores pró-sociais, valores pessoais e conveniência, ao lado de barreiras como medo, baixa autoeficácia, inconveniência, experiência negativa de serviço e adiamentos. Modelos sociocognitivos, sobretudo a teoria do comportamento planejado, explicam intenção com mais consistência do que o comportamento observado. A janela da primeira doação é crítica: parcela substancial dos novatos não retorna. Estudos de campo e ensaios indicam ganhos de retorno com cartas emocionais ou educativas, lembretes e com a combinação de intenções de implementação e compromisso explícito, ao passo que incentivos materiais e reuniões motivacionais genéricas tendem a efeitos menores. No Brasil, dados de prevalência, percepções de doadores e estratégias de fidelização descritas pela enfermagem convergem para educação, desconstrução de medos e qualidade do acolhimento. A retenção é, portanto, problema simultaneamente comportamental e organizacional, no qual a enfermagem media o encontro que torna a doação repetível.</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Palavras-chave:</w:t>
      </w:r>
      <w:r>
        <w:rPr>
          <w:rFonts w:ascii="Times New Roman" w:hAnsi="Times New Roman" w:eastAsia="Times New Roman"/>
          <w:b w:val="0"/>
          <w:sz w:val="24"/>
        </w:rPr>
        <w:t xml:space="preserve"> doação de sangue; retenção de doadores; motivação; fidelização; enfermagem; hemoterapia</w:t>
      </w:r>
    </w:p>
    <w:p>
      <w:pPr>
        <w:spacing w:line="480" w:lineRule="auto"/>
        <w:jc w:val="center"/>
      </w:pPr>
      <w:r>
        <w:rPr>
          <w:rFonts w:ascii="Times New Roman" w:hAnsi="Times New Roman" w:eastAsia="Times New Roman"/>
          <w:b/>
          <w:sz w:val="24"/>
        </w:rPr>
        <w:t>Abstract</w:t>
      </w:r>
    </w:p>
    <w:p>
      <w:pPr>
        <w:spacing w:line="480" w:lineRule="auto"/>
        <w:ind w:firstLine="720"/>
        <w:jc w:val="both"/>
      </w:pPr>
      <w:r>
        <w:rPr>
          <w:rFonts w:ascii="Times New Roman" w:hAnsi="Times New Roman" w:eastAsia="Times New Roman"/>
          <w:b w:val="0"/>
          <w:sz w:val="24"/>
        </w:rPr>
        <w:t>Blood-supply sustainability depends on converting a first donation into repeated return, not merely on recruiting new donors. This article presents a narrative review of indexed evidence, with DOIs validated via CrossRef, on donation motivators and barriers, predictors of return, retention interventions, and implications for nursing in transfusion services. Systematic reviews and meta-analyses organize prosocial motives, personal values, and convenience alongside barriers such as fear, low self-efficacy, inconvenience, negative service experience, and deferral. Social-cognitive models, especially the theory of planned behavior, explain intention more consistently than observed behavior. The first-donation window is critical: a substantial share of novices never return. Field studies and trials show return gains from emotional or educational letters, reminders, and the combination of implementation intentions with explicit commitment, whereas material incentives and generic motivational meetings tend to smaller effects. In Brazil, prevalence data, donor perceptions, and nursing descriptions of loyalty-building converge on education, demystifying fear, and the quality of reception. Retention is therefore both a behavioral and an organizational problem, in which nursing mediates the encounter that makes donation repeatable.</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Keywords:</w:t>
      </w:r>
      <w:r>
        <w:rPr>
          <w:rFonts w:ascii="Times New Roman" w:hAnsi="Times New Roman" w:eastAsia="Times New Roman"/>
          <w:b w:val="0"/>
          <w:sz w:val="24"/>
        </w:rPr>
        <w:t xml:space="preserve"> blood donation; donor retention; motivation; donor loyalty; nursing; transfusion medicine</w:t>
      </w:r>
    </w:p>
    <w:p>
      <w:pPr>
        <w:spacing w:line="480" w:lineRule="auto"/>
        <w:jc w:val="center"/>
      </w:pPr>
      <w:r>
        <w:rPr>
          <w:rFonts w:ascii="Times New Roman" w:hAnsi="Times New Roman" w:eastAsia="Times New Roman"/>
          <w:b/>
          <w:sz w:val="24"/>
        </w:rPr>
        <w:t>Introdução</w:t>
      </w:r>
    </w:p>
    <w:p>
      <w:pPr>
        <w:spacing w:line="480" w:lineRule="auto"/>
        <w:ind w:firstLine="720"/>
        <w:jc w:val="both"/>
      </w:pPr>
      <w:r>
        <w:rPr>
          <w:rFonts w:ascii="Times New Roman" w:hAnsi="Times New Roman" w:eastAsia="Times New Roman"/>
          <w:b w:val="0"/>
          <w:sz w:val="24"/>
        </w:rPr>
        <w:t>Sistemas de sangue baseados em doação voluntária não remunerada enfrentam um descompasso persistente entre a população elegível e o conjunto efetivo de doadores ativos. A revisão de Bagot et al. (2016) observou que apenas cerca de 5% dos elegíveis doam e que aproximadamente metade daqueles que realizam a primeira doação não retornam. Esse padrão desloca o problema do abastecimento da mera captação para a retenção: sem carreira de doações repetidas, os serviços permanecem dependentes de fluxos instáveis de novatos e de campanhas emergenciais.</w:t>
      </w:r>
    </w:p>
    <w:p>
      <w:pPr>
        <w:spacing w:line="480" w:lineRule="auto"/>
        <w:ind w:firstLine="720"/>
        <w:jc w:val="both"/>
      </w:pPr>
      <w:r>
        <w:rPr>
          <w:rFonts w:ascii="Times New Roman" w:hAnsi="Times New Roman" w:eastAsia="Times New Roman"/>
          <w:b w:val="0"/>
          <w:sz w:val="24"/>
        </w:rPr>
        <w:t>A psicologia da doação acumulou, nas duas últimas décadas, taxonomias de motivadores e barreiras (Bednall &amp; Bove, 2011), sínteses quantitativas de antecedentes da intenção e do comportamento (Bednall et al., 2013) e propostas de integração entre agendas da ciência social e da prática dos serviços (Ferguson et al., 2007). Em paralelo, a teoria do comportamento planejado (TCP) foi testada em doadores australianos para prever intenção e comportamento (Masser et al., 2009), e comparações entre doadores novos e experientes esclareceram determinantes da repetição (Godin et al., 2007). O que permanece menos articulado, sobretudo em língua portuguesa e com vocabulário de processo de enfermagem, é o modo como essas evidências se traduzem em trabalho cotidiano de acolhimento, educação, experiência de serviço e seguimento.</w:t>
      </w:r>
    </w:p>
    <w:p>
      <w:pPr>
        <w:spacing w:line="480" w:lineRule="auto"/>
        <w:ind w:firstLine="720"/>
        <w:jc w:val="both"/>
      </w:pPr>
      <w:r>
        <w:rPr>
          <w:rFonts w:ascii="Times New Roman" w:hAnsi="Times New Roman" w:eastAsia="Times New Roman"/>
          <w:b w:val="0"/>
          <w:sz w:val="24"/>
        </w:rPr>
        <w:t>A lacuna que orienta esta revisão não é a ausência de estudos sobre motivação. É a fragmentação entre (a) sínteses internacionais de preditores e intervenções, (b) evidência empírica sobre a janela da primeira doação e o lapso de doadores frequentes, e (c) a literatura brasileira de enfermagem e de saúde coletiva sobre fidelização e percepções da doação. Sem essa articulação, protocolos de captação tendem a tratar a enfermagem como suporte técnico da coleta, e não como mediadora do encontro que decide o retorno.</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Objetivo.</w:t>
      </w:r>
      <w:r>
        <w:rPr>
          <w:rFonts w:ascii="Times New Roman" w:hAnsi="Times New Roman" w:eastAsia="Times New Roman"/>
          <w:b w:val="0"/>
          <w:sz w:val="24"/>
        </w:rPr>
        <w:t xml:space="preserve"> Sintetizar evidências sobre motivadores e barreiras da doação, preditores de retorno (em especial de doadores de primeira vez), intervenções de retenção e implicações operacionais para a enfermagem em serviços de hemoterapia.</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Hipóteses de síntese.</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1. H1 (direcional, síntese): intervenções estruturadas de retenção (comunicação educativa ou emocional, lembretes e técnicas de intenção de implementação/compromisso explícito) associam-se a maior retorno de doadores de primeira vez do que a ausência de intervenção ou campanhas genéricas indiferenciadas.</w:t>
      </w:r>
    </w:p>
    <w:p>
      <w:pPr>
        <w:spacing w:line="480" w:lineRule="auto"/>
        <w:ind w:firstLine="720"/>
        <w:jc w:val="both"/>
      </w:pPr>
      <w:r>
        <w:rPr>
          <w:rFonts w:ascii="Times New Roman" w:hAnsi="Times New Roman" w:eastAsia="Times New Roman"/>
          <w:b w:val="0"/>
          <w:sz w:val="24"/>
        </w:rPr>
        <w:t>2. H2 (direcional, síntese): a qualidade do encontro assistencial de enfermagem (acolhimento, educação, experiência de serviço e seguimento) opera como mediador organizacional da retenção, e não apenas como apoio técnico à coleta.</w:t>
      </w:r>
    </w:p>
    <w:p>
      <w:pPr>
        <w:spacing w:line="480" w:lineRule="auto"/>
        <w:jc w:val="center"/>
      </w:pPr>
      <w:r>
        <w:rPr>
          <w:rFonts w:ascii="Times New Roman" w:hAnsi="Times New Roman" w:eastAsia="Times New Roman"/>
          <w:b/>
          <w:sz w:val="24"/>
        </w:rPr>
        <w:t>Método</w:t>
      </w:r>
    </w:p>
    <w:p>
      <w:pPr>
        <w:spacing w:line="480" w:lineRule="auto"/>
        <w:jc w:val="left"/>
      </w:pPr>
      <w:r>
        <w:rPr>
          <w:rFonts w:ascii="Times New Roman" w:hAnsi="Times New Roman" w:eastAsia="Times New Roman"/>
          <w:b/>
          <w:sz w:val="24"/>
        </w:rPr>
        <w:t>Delineamento</w:t>
      </w:r>
    </w:p>
    <w:p>
      <w:pPr>
        <w:spacing w:line="480" w:lineRule="auto"/>
        <w:ind w:firstLine="720"/>
        <w:jc w:val="both"/>
      </w:pPr>
      <w:r>
        <w:rPr>
          <w:rFonts w:ascii="Times New Roman" w:hAnsi="Times New Roman" w:eastAsia="Times New Roman"/>
          <w:b w:val="0"/>
          <w:sz w:val="24"/>
        </w:rPr>
        <w:t>Trata-se de revisão narrativa da literatura (síntese qualitativa de evidências). A revisão narrativa foi escolhida porque o objeto reúne desenhos heterogêneos — meta-análises, ensaios de campo, inquéritos, coortes de retorno e estudos qualitativos de enfermagem — cujo valor para a prática não se reduz a um tamanho de efeito único.</w:t>
      </w:r>
    </w:p>
    <w:p>
      <w:pPr>
        <w:spacing w:line="480" w:lineRule="auto"/>
        <w:jc w:val="left"/>
      </w:pPr>
      <w:r>
        <w:rPr>
          <w:rFonts w:ascii="Times New Roman" w:hAnsi="Times New Roman" w:eastAsia="Times New Roman"/>
          <w:b/>
          <w:sz w:val="24"/>
        </w:rPr>
        <w:t>Corpus e critérios</w:t>
      </w:r>
    </w:p>
    <w:p>
      <w:pPr>
        <w:spacing w:line="480" w:lineRule="auto"/>
        <w:ind w:firstLine="720"/>
        <w:jc w:val="both"/>
      </w:pPr>
      <w:r>
        <w:rPr>
          <w:rFonts w:ascii="Times New Roman" w:hAnsi="Times New Roman" w:eastAsia="Times New Roman"/>
          <w:b w:val="0"/>
          <w:sz w:val="24"/>
        </w:rPr>
        <w:t>Corpus de artigos indexados com DOI validado via CrossRef, priorizando revisões sistemáticas e meta-análises, ensaios e estudos observacionais sobre retenção, bem como evidência brasileira de enfermagem e de saúde coletiva (2010–2020, com âncoras teóricas de 2007–2009). Incluíram-se itens com DOI localizável cuja contribuição recaísse sobre motivação, intenção, retorno, lapso, intervenções de retenção, percepções da doação ou estratégias de fidelização descritas pela enfermagem. Excluíram-se, na curadoria, trabalhos centrados exclusivamente em reações transfusionais de receptores, em aspectos laboratoriais da unidade de sangue ou em temas clínicos sem nexo com o comportamento de doar.</w:t>
      </w:r>
    </w:p>
    <w:p>
      <w:pPr>
        <w:spacing w:line="480" w:lineRule="auto"/>
        <w:ind w:firstLine="720"/>
        <w:jc w:val="both"/>
      </w:pPr>
      <w:r>
        <w:rPr>
          <w:rFonts w:ascii="Times New Roman" w:hAnsi="Times New Roman" w:eastAsia="Times New Roman"/>
          <w:b w:val="0"/>
          <w:sz w:val="24"/>
        </w:rPr>
        <w:t>A bibliografia inicial foi fixada a priori no arquivo de entrada do pipeline e validada na API CrossRef. Não se pretendeu exaustividade de bases (não houve estratégia PRISMA nem registro PROSPERO). O recorte privilegia periódicos de medicina transfusional, ciência social da saúde e enfermagem com metadados recuperáveis.</w:t>
      </w:r>
    </w:p>
    <w:p>
      <w:pPr>
        <w:spacing w:line="480" w:lineRule="auto"/>
        <w:jc w:val="left"/>
      </w:pPr>
      <w:r>
        <w:rPr>
          <w:rFonts w:ascii="Times New Roman" w:hAnsi="Times New Roman" w:eastAsia="Times New Roman"/>
          <w:b/>
          <w:sz w:val="24"/>
        </w:rPr>
        <w:t>Instrumentos e procedimentos</w:t>
      </w:r>
    </w:p>
    <w:p>
      <w:pPr>
        <w:spacing w:line="480" w:lineRule="auto"/>
        <w:ind w:firstLine="720"/>
        <w:jc w:val="both"/>
      </w:pPr>
      <w:r>
        <w:rPr>
          <w:rFonts w:ascii="Times New Roman" w:hAnsi="Times New Roman" w:eastAsia="Times New Roman"/>
          <w:b w:val="0"/>
          <w:sz w:val="24"/>
        </w:rPr>
        <w:t>Instrumentos: Protocolo de busca narrativa e validação de DOIs na API CrossRef; Extração estruturada de metadados bibliográficos (APA 7); Checklist de coerência metodológica e de correspondência citação–referência.</w:t>
      </w:r>
    </w:p>
    <w:p>
      <w:pPr>
        <w:spacing w:line="480" w:lineRule="auto"/>
        <w:ind w:firstLine="720"/>
        <w:jc w:val="both"/>
      </w:pPr>
      <w:r>
        <w:rPr>
          <w:rFonts w:ascii="Times New Roman" w:hAnsi="Times New Roman" w:eastAsia="Times New Roman"/>
          <w:b w:val="0"/>
          <w:sz w:val="24"/>
        </w:rPr>
        <w:t>Procedimentos: (1) definição da pergunta e das hipóteses de síntese; (2) recuperação e validação de DOIs; (3) leitura e síntese por eixos (taxonomia motivacional, modelos sociocognitivos, janela da primeira doação, intervenções, lapso, contexto brasileiro, enfermagem); (4) verificação de citações e formatação APA 7; (5) checagem heurística de originalidade.</w:t>
      </w:r>
    </w:p>
    <w:p>
      <w:pPr>
        <w:spacing w:line="480" w:lineRule="auto"/>
        <w:ind w:firstLine="720"/>
        <w:jc w:val="both"/>
      </w:pPr>
      <w:r>
        <w:rPr>
          <w:rFonts w:ascii="Times New Roman" w:hAnsi="Times New Roman" w:eastAsia="Times New Roman"/>
          <w:b w:val="0"/>
          <w:sz w:val="24"/>
        </w:rPr>
        <w:t>A síntese foi organizada em sete eixos definidos antes da redação: (1) magnitude do problema de retenção; (2) taxonomia de motivadores e barreiras; (3) modelos sociocognitivos; (4) janela da primeira doação; (5) evidência de intervenções; (6) lapso de doadores já inseridos no serviço; (7) contexto brasileiro e implicações de enfermagem.</w:t>
      </w:r>
    </w:p>
    <w:p>
      <w:pPr>
        <w:spacing w:line="480" w:lineRule="auto"/>
        <w:jc w:val="left"/>
      </w:pPr>
      <w:r>
        <w:rPr>
          <w:rFonts w:ascii="Times New Roman" w:hAnsi="Times New Roman" w:eastAsia="Times New Roman"/>
          <w:b/>
          <w:sz w:val="24"/>
        </w:rPr>
        <w:t>Análises</w:t>
      </w:r>
    </w:p>
    <w:p>
      <w:pPr>
        <w:spacing w:line="480" w:lineRule="auto"/>
        <w:ind w:firstLine="720"/>
        <w:jc w:val="both"/>
      </w:pPr>
      <w:r>
        <w:rPr>
          <w:rFonts w:ascii="Times New Roman" w:hAnsi="Times New Roman" w:eastAsia="Times New Roman"/>
          <w:b w:val="0"/>
          <w:sz w:val="24"/>
        </w:rPr>
        <w:t>Síntese narrativa por eixos, sem meta-análise própria. Efeitos numéricos reportados pelos estudos primários são reproduzidos apenas quando explicitados nas fontes recuperadas. A validade da síntese depende da abrangência do corpus e da fidelidade aos achados publicados; limitações são explicitadas na Discussão.</w:t>
      </w:r>
    </w:p>
    <w:p>
      <w:pPr>
        <w:spacing w:line="480" w:lineRule="auto"/>
        <w:jc w:val="left"/>
      </w:pPr>
      <w:r>
        <w:rPr>
          <w:rFonts w:ascii="Times New Roman" w:hAnsi="Times New Roman" w:eastAsia="Times New Roman"/>
          <w:b/>
          <w:sz w:val="24"/>
        </w:rPr>
        <w:t>Ética</w:t>
      </w:r>
    </w:p>
    <w:p>
      <w:pPr>
        <w:spacing w:line="480" w:lineRule="auto"/>
        <w:ind w:firstLine="720"/>
        <w:jc w:val="both"/>
      </w:pPr>
      <w:r>
        <w:rPr>
          <w:rFonts w:ascii="Times New Roman" w:hAnsi="Times New Roman" w:eastAsia="Times New Roman"/>
          <w:b w:val="0"/>
          <w:sz w:val="24"/>
        </w:rPr>
        <w:t>Trata-se de revisão narrativa de literatura publicada. Não houve coleta de dados primários com participantes humanos ou animais; portanto, não se aplica aprovação por comitê de ética em pesquisa.</w:t>
      </w:r>
    </w:p>
    <w:p>
      <w:pPr>
        <w:spacing w:line="480" w:lineRule="auto"/>
        <w:jc w:val="center"/>
      </w:pPr>
      <w:r>
        <w:rPr>
          <w:rFonts w:ascii="Times New Roman" w:hAnsi="Times New Roman" w:eastAsia="Times New Roman"/>
          <w:b/>
          <w:sz w:val="24"/>
        </w:rPr>
        <w:t>Resultados</w:t>
      </w:r>
    </w:p>
    <w:p>
      <w:pPr>
        <w:spacing w:line="480" w:lineRule="auto"/>
        <w:jc w:val="left"/>
      </w:pPr>
      <w:r>
        <w:rPr>
          <w:rFonts w:ascii="Times New Roman" w:hAnsi="Times New Roman" w:eastAsia="Times New Roman"/>
          <w:b/>
          <w:sz w:val="24"/>
        </w:rPr>
        <w:t>Magnitude do problema e lógica da carreira do doador</w:t>
      </w:r>
    </w:p>
    <w:p>
      <w:pPr>
        <w:spacing w:line="480" w:lineRule="auto"/>
        <w:ind w:firstLine="720"/>
        <w:jc w:val="both"/>
      </w:pPr>
      <w:r>
        <w:rPr>
          <w:rFonts w:ascii="Times New Roman" w:hAnsi="Times New Roman" w:eastAsia="Times New Roman"/>
          <w:b w:val="0"/>
          <w:sz w:val="24"/>
        </w:rPr>
        <w:t xml:space="preserve">Bagot et al. (2016) situaram a retenção do doador de primeira vez como problema de sistema: a baixa penetração da doação na população elegível combina-se a elevada perda após a estreia. Van Dongen (2015), em ensaio de revisão intitulado de modo programático </w:t>
      </w:r>
      <w:r>
        <w:rPr>
          <w:rFonts w:ascii="Times New Roman" w:hAnsi="Times New Roman" w:eastAsia="Times New Roman"/>
          <w:b w:val="0"/>
          <w:i/>
          <w:sz w:val="24"/>
        </w:rPr>
        <w:t>Easy come, easy go</w:t>
      </w:r>
      <w:r>
        <w:rPr>
          <w:rFonts w:ascii="Times New Roman" w:hAnsi="Times New Roman" w:eastAsia="Times New Roman"/>
          <w:b w:val="0"/>
          <w:sz w:val="24"/>
        </w:rPr>
        <w:t>, argumentou que a facilidade relativa de recrutar não se traduz automaticamente em permanência, o que exige desenho deliberado de retenção. Esse diagnóstico reorienta indicadores: taxa de captação isolada superestima a saúde do painel se o retorno de novatos e a prevenção de lapso não forem medidos.</w:t>
      </w:r>
    </w:p>
    <w:p>
      <w:pPr>
        <w:spacing w:line="480" w:lineRule="auto"/>
        <w:ind w:firstLine="720"/>
        <w:jc w:val="both"/>
      </w:pPr>
      <w:r>
        <w:rPr>
          <w:rFonts w:ascii="Times New Roman" w:hAnsi="Times New Roman" w:eastAsia="Times New Roman"/>
          <w:b w:val="0"/>
          <w:sz w:val="24"/>
        </w:rPr>
        <w:t>A comparação entre doadores atuais e doadores em lapso mostra que o abandono não é ruído residual. Germain et al. (2007) examinaram determinantes do comportamento de retorno contrastando esses dois grupos, evidenciando que variáveis de experiência com o serviço e de percepção do ato de doar separam quem permanece de quem se afasta. Entre doadores já frequentes, Gemelli et al. (2017) descreveram o subgrupo de alta frequência e identificaram preditores de lapso, o que desloca a agenda da captação para a manutenção de carreiras longas.</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Tabela 1</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Eixos da síntese e âncoras empíricas do corpus</w:t>
      </w:r>
      <w:r>
        <w:rPr>
          <w:rFonts w:ascii="Times New Roman" w:hAnsi="Times New Roman" w:eastAsia="Times New Roman"/>
          <w:b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eastAsia="Times New Roman"/>
                <w:b/>
                <w:sz w:val="20"/>
              </w:rPr>
              <w:t>Eixo</w:t>
            </w:r>
          </w:p>
        </w:tc>
        <w:tc>
          <w:tcPr>
            <w:tcW w:type="dxa" w:w="3120"/>
          </w:tcPr>
          <w:p>
            <w:pPr>
              <w:spacing w:line="240" w:lineRule="auto"/>
            </w:pPr>
            <w:r/>
            <w:r>
              <w:rPr>
                <w:rFonts w:ascii="Times New Roman" w:hAnsi="Times New Roman" w:eastAsia="Times New Roman"/>
                <w:b/>
                <w:sz w:val="20"/>
              </w:rPr>
              <w:t>Questão central</w:t>
            </w:r>
          </w:p>
        </w:tc>
        <w:tc>
          <w:tcPr>
            <w:tcW w:type="dxa" w:w="3120"/>
          </w:tcPr>
          <w:p>
            <w:pPr>
              <w:spacing w:line="240" w:lineRule="auto"/>
            </w:pPr>
            <w:r/>
            <w:r>
              <w:rPr>
                <w:rFonts w:ascii="Times New Roman" w:hAnsi="Times New Roman" w:eastAsia="Times New Roman"/>
                <w:b/>
                <w:sz w:val="20"/>
              </w:rPr>
              <w:t>Âncoras</w:t>
            </w:r>
          </w:p>
        </w:tc>
      </w:tr>
      <w:tr>
        <w:tc>
          <w:tcPr>
            <w:tcW w:type="dxa" w:w="3120"/>
          </w:tcPr>
          <w:p>
            <w:pPr>
              <w:spacing w:line="240" w:lineRule="auto"/>
            </w:pPr>
            <w:r/>
            <w:r>
              <w:rPr>
                <w:rFonts w:ascii="Times New Roman" w:hAnsi="Times New Roman" w:eastAsia="Times New Roman"/>
                <w:b w:val="0"/>
                <w:sz w:val="20"/>
              </w:rPr>
              <w:t>Magnitude e carreira</w:t>
            </w:r>
          </w:p>
        </w:tc>
        <w:tc>
          <w:tcPr>
            <w:tcW w:type="dxa" w:w="3120"/>
          </w:tcPr>
          <w:p>
            <w:pPr>
              <w:spacing w:line="240" w:lineRule="auto"/>
            </w:pPr>
            <w:r/>
            <w:r>
              <w:rPr>
                <w:rFonts w:ascii="Times New Roman" w:hAnsi="Times New Roman" w:eastAsia="Times New Roman"/>
                <w:b w:val="0"/>
                <w:sz w:val="20"/>
              </w:rPr>
              <w:t>Por que retenção é problema de abastecimento?</w:t>
            </w:r>
          </w:p>
        </w:tc>
        <w:tc>
          <w:tcPr>
            <w:tcW w:type="dxa" w:w="3120"/>
          </w:tcPr>
          <w:p>
            <w:pPr>
              <w:spacing w:line="240" w:lineRule="auto"/>
            </w:pPr>
            <w:r/>
            <w:r>
              <w:rPr>
                <w:rFonts w:ascii="Times New Roman" w:hAnsi="Times New Roman" w:eastAsia="Times New Roman"/>
                <w:b w:val="0"/>
                <w:sz w:val="20"/>
              </w:rPr>
              <w:t>Bagot et al. (2016); Van Dongen (2015)</w:t>
            </w:r>
          </w:p>
        </w:tc>
      </w:tr>
      <w:tr>
        <w:tc>
          <w:tcPr>
            <w:tcW w:type="dxa" w:w="3120"/>
          </w:tcPr>
          <w:p>
            <w:pPr>
              <w:spacing w:line="240" w:lineRule="auto"/>
            </w:pPr>
            <w:r/>
            <w:r>
              <w:rPr>
                <w:rFonts w:ascii="Times New Roman" w:hAnsi="Times New Roman" w:eastAsia="Times New Roman"/>
                <w:b w:val="0"/>
                <w:sz w:val="20"/>
              </w:rPr>
              <w:t>Motivadores e barreiras</w:t>
            </w:r>
          </w:p>
        </w:tc>
        <w:tc>
          <w:tcPr>
            <w:tcW w:type="dxa" w:w="3120"/>
          </w:tcPr>
          <w:p>
            <w:pPr>
              <w:spacing w:line="240" w:lineRule="auto"/>
            </w:pPr>
            <w:r/>
            <w:r>
              <w:rPr>
                <w:rFonts w:ascii="Times New Roman" w:hAnsi="Times New Roman" w:eastAsia="Times New Roman"/>
                <w:b w:val="0"/>
                <w:sz w:val="20"/>
              </w:rPr>
              <w:t>O que inicia, sustenta ou interrompe a doação?</w:t>
            </w:r>
          </w:p>
        </w:tc>
        <w:tc>
          <w:tcPr>
            <w:tcW w:type="dxa" w:w="3120"/>
          </w:tcPr>
          <w:p>
            <w:pPr>
              <w:spacing w:line="240" w:lineRule="auto"/>
            </w:pPr>
            <w:r/>
            <w:r>
              <w:rPr>
                <w:rFonts w:ascii="Times New Roman" w:hAnsi="Times New Roman" w:eastAsia="Times New Roman"/>
                <w:b w:val="0"/>
                <w:sz w:val="20"/>
              </w:rPr>
              <w:t>Bednall e Bove (2011); Bednall et al. (2013)</w:t>
            </w:r>
          </w:p>
        </w:tc>
      </w:tr>
      <w:tr>
        <w:tc>
          <w:tcPr>
            <w:tcW w:type="dxa" w:w="3120"/>
          </w:tcPr>
          <w:p>
            <w:pPr>
              <w:spacing w:line="240" w:lineRule="auto"/>
            </w:pPr>
            <w:r/>
            <w:r>
              <w:rPr>
                <w:rFonts w:ascii="Times New Roman" w:hAnsi="Times New Roman" w:eastAsia="Times New Roman"/>
                <w:b w:val="0"/>
                <w:sz w:val="20"/>
              </w:rPr>
              <w:t>Modelos sociocognitivos</w:t>
            </w:r>
          </w:p>
        </w:tc>
        <w:tc>
          <w:tcPr>
            <w:tcW w:type="dxa" w:w="3120"/>
          </w:tcPr>
          <w:p>
            <w:pPr>
              <w:spacing w:line="240" w:lineRule="auto"/>
            </w:pPr>
            <w:r/>
            <w:r>
              <w:rPr>
                <w:rFonts w:ascii="Times New Roman" w:hAnsi="Times New Roman" w:eastAsia="Times New Roman"/>
                <w:b w:val="0"/>
                <w:sz w:val="20"/>
              </w:rPr>
              <w:t>Como intenção se liga (ou não) ao retorno?</w:t>
            </w:r>
          </w:p>
        </w:tc>
        <w:tc>
          <w:tcPr>
            <w:tcW w:type="dxa" w:w="3120"/>
          </w:tcPr>
          <w:p>
            <w:pPr>
              <w:spacing w:line="240" w:lineRule="auto"/>
            </w:pPr>
            <w:r/>
            <w:r>
              <w:rPr>
                <w:rFonts w:ascii="Times New Roman" w:hAnsi="Times New Roman" w:eastAsia="Times New Roman"/>
                <w:b w:val="0"/>
                <w:sz w:val="20"/>
              </w:rPr>
              <w:t>Masser et al. (2009); Godin et al. (2007); Ferguson et al. (2007)</w:t>
            </w:r>
          </w:p>
        </w:tc>
      </w:tr>
      <w:tr>
        <w:tc>
          <w:tcPr>
            <w:tcW w:type="dxa" w:w="3120"/>
          </w:tcPr>
          <w:p>
            <w:pPr>
              <w:spacing w:line="240" w:lineRule="auto"/>
            </w:pPr>
            <w:r/>
            <w:r>
              <w:rPr>
                <w:rFonts w:ascii="Times New Roman" w:hAnsi="Times New Roman" w:eastAsia="Times New Roman"/>
                <w:b w:val="0"/>
                <w:sz w:val="20"/>
              </w:rPr>
              <w:t>Primeira doação</w:t>
            </w:r>
          </w:p>
        </w:tc>
        <w:tc>
          <w:tcPr>
            <w:tcW w:type="dxa" w:w="3120"/>
          </w:tcPr>
          <w:p>
            <w:pPr>
              <w:spacing w:line="240" w:lineRule="auto"/>
            </w:pPr>
            <w:r/>
            <w:r>
              <w:rPr>
                <w:rFonts w:ascii="Times New Roman" w:hAnsi="Times New Roman" w:eastAsia="Times New Roman"/>
                <w:b w:val="0"/>
                <w:sz w:val="20"/>
              </w:rPr>
              <w:t>Quais fatores predizem o segundo ato?</w:t>
            </w:r>
          </w:p>
        </w:tc>
        <w:tc>
          <w:tcPr>
            <w:tcW w:type="dxa" w:w="3120"/>
          </w:tcPr>
          <w:p>
            <w:pPr>
              <w:spacing w:line="240" w:lineRule="auto"/>
            </w:pPr>
            <w:r/>
            <w:r>
              <w:rPr>
                <w:rFonts w:ascii="Times New Roman" w:hAnsi="Times New Roman" w:eastAsia="Times New Roman"/>
                <w:b w:val="0"/>
                <w:sz w:val="20"/>
              </w:rPr>
              <w:t>Hashemi et al. (2019); Wevers et al. (2015); Swanevelder et al. (2019); Asamoah-Akuoko et al. (2021)</w:t>
            </w:r>
          </w:p>
        </w:tc>
      </w:tr>
      <w:tr>
        <w:tc>
          <w:tcPr>
            <w:tcW w:type="dxa" w:w="3120"/>
          </w:tcPr>
          <w:p>
            <w:pPr>
              <w:spacing w:line="240" w:lineRule="auto"/>
            </w:pPr>
            <w:r/>
            <w:r>
              <w:rPr>
                <w:rFonts w:ascii="Times New Roman" w:hAnsi="Times New Roman" w:eastAsia="Times New Roman"/>
                <w:b w:val="0"/>
                <w:sz w:val="20"/>
              </w:rPr>
              <w:t>Lapso</w:t>
            </w:r>
          </w:p>
        </w:tc>
        <w:tc>
          <w:tcPr>
            <w:tcW w:type="dxa" w:w="3120"/>
          </w:tcPr>
          <w:p>
            <w:pPr>
              <w:spacing w:line="240" w:lineRule="auto"/>
            </w:pPr>
            <w:r/>
            <w:r>
              <w:rPr>
                <w:rFonts w:ascii="Times New Roman" w:hAnsi="Times New Roman" w:eastAsia="Times New Roman"/>
                <w:b w:val="0"/>
                <w:sz w:val="20"/>
              </w:rPr>
              <w:t>O que afasta doadores já inseridos?</w:t>
            </w:r>
          </w:p>
        </w:tc>
        <w:tc>
          <w:tcPr>
            <w:tcW w:type="dxa" w:w="3120"/>
          </w:tcPr>
          <w:p>
            <w:pPr>
              <w:spacing w:line="240" w:lineRule="auto"/>
            </w:pPr>
            <w:r/>
            <w:r>
              <w:rPr>
                <w:rFonts w:ascii="Times New Roman" w:hAnsi="Times New Roman" w:eastAsia="Times New Roman"/>
                <w:b w:val="0"/>
                <w:sz w:val="20"/>
              </w:rPr>
              <w:t>Germain et al. (2007); Gemelli et al. (2017); Van Dongen et al. (2013)</w:t>
            </w:r>
          </w:p>
        </w:tc>
      </w:tr>
      <w:tr>
        <w:tc>
          <w:tcPr>
            <w:tcW w:type="dxa" w:w="3120"/>
          </w:tcPr>
          <w:p>
            <w:pPr>
              <w:spacing w:line="240" w:lineRule="auto"/>
            </w:pPr>
            <w:r/>
            <w:r>
              <w:rPr>
                <w:rFonts w:ascii="Times New Roman" w:hAnsi="Times New Roman" w:eastAsia="Times New Roman"/>
                <w:b w:val="0"/>
                <w:sz w:val="20"/>
              </w:rPr>
              <w:t>Brasil e enfermagem</w:t>
            </w:r>
          </w:p>
        </w:tc>
        <w:tc>
          <w:tcPr>
            <w:tcW w:type="dxa" w:w="3120"/>
          </w:tcPr>
          <w:p>
            <w:pPr>
              <w:spacing w:line="240" w:lineRule="auto"/>
            </w:pPr>
            <w:r/>
            <w:r>
              <w:rPr>
                <w:rFonts w:ascii="Times New Roman" w:hAnsi="Times New Roman" w:eastAsia="Times New Roman"/>
                <w:b w:val="0"/>
                <w:sz w:val="20"/>
              </w:rPr>
              <w:t>Como o encontro assistencial organiza fidelização?</w:t>
            </w:r>
          </w:p>
        </w:tc>
        <w:tc>
          <w:tcPr>
            <w:tcW w:type="dxa" w:w="3120"/>
          </w:tcPr>
          <w:p>
            <w:pPr>
              <w:spacing w:line="240" w:lineRule="auto"/>
            </w:pPr>
            <w:r/>
            <w:r>
              <w:rPr>
                <w:rFonts w:ascii="Times New Roman" w:hAnsi="Times New Roman" w:eastAsia="Times New Roman"/>
                <w:b w:val="0"/>
                <w:sz w:val="20"/>
              </w:rPr>
              <w:t>Zago et al. (2010); Giacomini e Lunardi Filho (2010); Conceição et al. (2016)</w:t>
            </w:r>
          </w:p>
        </w:tc>
      </w:tr>
    </w:tbl>
    <w:p>
      <w:pPr>
        <w:spacing w:line="480" w:lineRule="auto" w:after="0"/>
      </w:pPr>
    </w:p>
    <w:p>
      <w:pPr>
        <w:spacing w:line="480" w:lineRule="auto"/>
        <w:jc w:val="left"/>
      </w:pPr>
      <w:r>
        <w:rPr>
          <w:rFonts w:ascii="Times New Roman" w:hAnsi="Times New Roman" w:eastAsia="Times New Roman"/>
          <w:b/>
          <w:sz w:val="24"/>
        </w:rPr>
        <w:t>Taxonomia de motivadores e barreiras</w:t>
      </w:r>
    </w:p>
    <w:p>
      <w:pPr>
        <w:spacing w:line="480" w:lineRule="auto"/>
        <w:ind w:firstLine="720"/>
        <w:jc w:val="both"/>
      </w:pPr>
      <w:r>
        <w:rPr>
          <w:rFonts w:ascii="Times New Roman" w:hAnsi="Times New Roman" w:eastAsia="Times New Roman"/>
          <w:b w:val="0"/>
          <w:sz w:val="24"/>
        </w:rPr>
        <w:t>Bednall e Bove (2011) sintetizaram, em meta-análise de autorrelato, categorias de motivadores e de barreiras aplicáveis a doadores de primeira vez, repetidores, em lapso, de aférese e não doadores elegíveis. Entre motivadores, doadores iniciantes e repetidores citaram com frequência conveniência, motivação pró-social e valores pessoais; doadores em lapso enfatizaram reputação da agência coletora, necessidade percebida, comunicação de marketing e incentivos. Entre barreiras, doadores e não doadores recorreram a baixa autoeficácia, baixo envolvimento, inconveniência, ausência de comunicação, incentivos ineficazes, falta de conhecimento, experiências negativas de serviço e medo.</w:t>
      </w:r>
    </w:p>
    <w:p>
      <w:pPr>
        <w:spacing w:line="480" w:lineRule="auto"/>
        <w:ind w:firstLine="720"/>
        <w:jc w:val="both"/>
      </w:pPr>
      <w:r>
        <w:rPr>
          <w:rFonts w:ascii="Times New Roman" w:hAnsi="Times New Roman" w:eastAsia="Times New Roman"/>
          <w:b w:val="0"/>
          <w:sz w:val="24"/>
        </w:rPr>
        <w:t>Essa taxonomia tem duas consequências analíticas. Primeira: o mesmo indivíduo atravessa estágios em que o peso relativo dos fatores muda; tratar “o doador” como tipo único distorce intervenção. Segunda: barreiras de serviço (fila, trato, informação) não são epifenômenos psicológicos — são atributos organizacionais mensuráveis. A meta-análise subsequente de Bednall et al. (2013) consolidou antecedentes da intenção e do comportamento, reforçando que construtos sociocognitivos e condições situacionais devem ser lidos em conjunto, e não como listas rivais.</w:t>
      </w:r>
    </w:p>
    <w:p>
      <w:pPr>
        <w:spacing w:line="480" w:lineRule="auto"/>
        <w:jc w:val="left"/>
      </w:pPr>
      <w:r>
        <w:rPr>
          <w:rFonts w:ascii="Times New Roman" w:hAnsi="Times New Roman" w:eastAsia="Times New Roman"/>
          <w:b/>
          <w:sz w:val="24"/>
        </w:rPr>
        <w:t>Modelos sociocognitivos: intenção, controle percebido e repetição</w:t>
      </w:r>
    </w:p>
    <w:p>
      <w:pPr>
        <w:spacing w:line="480" w:lineRule="auto"/>
        <w:ind w:firstLine="720"/>
        <w:jc w:val="both"/>
      </w:pPr>
      <w:r>
        <w:rPr>
          <w:rFonts w:ascii="Times New Roman" w:hAnsi="Times New Roman" w:eastAsia="Times New Roman"/>
          <w:b w:val="0"/>
          <w:sz w:val="24"/>
        </w:rPr>
        <w:t>Ferguson et al. (2007) defenderam a integração de avanços teóricos das ciências sociais e comportamentais às agendas de recrutamento e retenção, contra o empirismo de campanhas isoladas. No teste de um modelo estendido da TCP, Masser et al. (2009) mostraram que atitudes, norma subjetiva e controle comportamental percebido organizam a intenção de doar entre doadores australianos, com implicações para mensagens que visem crenças específicas em vez de apelos genéricos à solidariedade.</w:t>
      </w:r>
    </w:p>
    <w:p>
      <w:pPr>
        <w:spacing w:line="480" w:lineRule="auto"/>
        <w:ind w:firstLine="720"/>
        <w:jc w:val="both"/>
      </w:pPr>
      <w:r>
        <w:rPr>
          <w:rFonts w:ascii="Times New Roman" w:hAnsi="Times New Roman" w:eastAsia="Times New Roman"/>
          <w:b w:val="0"/>
          <w:sz w:val="24"/>
        </w:rPr>
        <w:t>Godin et al. (2007) compararam determinantes da doação repetida entre doadores novos e experientes, indicando que o peso dos preditores não é idêntico ao longo da carreira. Esse achado dialoga com a observação de Bagot et al. (2016) de que intenção prediz retenção de novatos, sendo ela própria alimentada por atitudes e por senso de controle. A lacuna clássica intenção–comportamento permanece: intenção elevada não garante retorno se ansiedade, evento adverso, adiamento ou serviço ruim interromperem a cadeia.</w:t>
      </w:r>
    </w:p>
    <w:p>
      <w:pPr>
        <w:spacing w:line="480" w:lineRule="auto"/>
        <w:ind w:firstLine="720"/>
        <w:jc w:val="both"/>
      </w:pPr>
      <w:r>
        <w:rPr>
          <w:rFonts w:ascii="Times New Roman" w:hAnsi="Times New Roman" w:eastAsia="Times New Roman"/>
          <w:b w:val="0"/>
          <w:sz w:val="24"/>
        </w:rPr>
        <w:t>Eventos adversos e angústia subjetiva entram aqui como perturbadores da carreira, não como tema clínico autônomo. Van Dongen et al. (2013) demonstraram influência de reações adversas, sofrimento subjetivo e ansiedade sobre a retenção de doadores de primeira vez. O ponto para a presente síntese é organizacional: prevenção e acolhimento pós-evento são instrumentos de retenção, além de deveres de segurança.</w:t>
      </w:r>
    </w:p>
    <w:p>
      <w:pPr>
        <w:spacing w:line="480" w:lineRule="auto"/>
        <w:jc w:val="left"/>
      </w:pPr>
      <w:r>
        <w:rPr>
          <w:rFonts w:ascii="Times New Roman" w:hAnsi="Times New Roman" w:eastAsia="Times New Roman"/>
          <w:b/>
          <w:sz w:val="24"/>
        </w:rPr>
        <w:t>A janela da primeira doação: preditores de retorno real</w:t>
      </w:r>
    </w:p>
    <w:p>
      <w:pPr>
        <w:spacing w:line="480" w:lineRule="auto"/>
        <w:ind w:firstLine="720"/>
        <w:jc w:val="both"/>
      </w:pPr>
      <w:r>
        <w:rPr>
          <w:rFonts w:ascii="Times New Roman" w:hAnsi="Times New Roman" w:eastAsia="Times New Roman"/>
          <w:b w:val="0"/>
          <w:sz w:val="24"/>
        </w:rPr>
        <w:t>Quatro estudos do corpus medem retorno ou intenção de retorno em novatos, em contextos nacionais distintos, o que impede média única, mas permite convergências.</w:t>
      </w:r>
    </w:p>
    <w:p>
      <w:pPr>
        <w:spacing w:line="480" w:lineRule="auto"/>
        <w:ind w:firstLine="720"/>
        <w:jc w:val="both"/>
      </w:pPr>
      <w:r>
        <w:rPr>
          <w:rFonts w:ascii="Times New Roman" w:hAnsi="Times New Roman" w:eastAsia="Times New Roman"/>
          <w:b w:val="0"/>
          <w:sz w:val="24"/>
        </w:rPr>
        <w:t>Hashemi et al. (2019) conduziram ensaio de campo com 1.356 doadores de primeira vez em quatro centros no Irã, alocados a carta emocional, carta educativa, lembrete telefônico, incentivo, reunião motivacional ou ausência de intervenção. O retorno em seis meses foi de 29% no conjunto (intervalo de confiança de 95%: 0,26–0,31). As taxas por braço foram 36% (carta emocional), 33,2% (carta educativa), 31,5% (telefone), 30% (incentivo), 22% (reunião motivacional) e 22,1% (controle). Cartas e telefone superaram o controle; a reunião motivacional não se distinguiu dele.</w:t>
      </w:r>
    </w:p>
    <w:p>
      <w:pPr>
        <w:spacing w:line="480" w:lineRule="auto"/>
        <w:ind w:firstLine="720"/>
        <w:jc w:val="both"/>
      </w:pPr>
      <w:r>
        <w:rPr>
          <w:rFonts w:ascii="Times New Roman" w:hAnsi="Times New Roman" w:eastAsia="Times New Roman"/>
          <w:b w:val="0"/>
          <w:sz w:val="24"/>
        </w:rPr>
        <w:t>Wevers et al. (2015) testaram, em 937 doadores recém-registrados, uma folha adicional no exame médico com intenções de implementação e/ou compromisso explícito. A condição que combinou as duas técnicas apresentou retorno 11,5 pontos percentuais acima do controle, com razão de chances de 1,65 (intervalo de confiança de 95%: 1,08–2,50). O achado importa porque a intervenção é breve, de baixo custo e inserível no fluxo já existente de triagem.</w:t>
      </w:r>
    </w:p>
    <w:p>
      <w:pPr>
        <w:spacing w:line="480" w:lineRule="auto"/>
        <w:ind w:firstLine="720"/>
        <w:jc w:val="both"/>
      </w:pPr>
      <w:r>
        <w:rPr>
          <w:rFonts w:ascii="Times New Roman" w:hAnsi="Times New Roman" w:eastAsia="Times New Roman"/>
          <w:b w:val="0"/>
          <w:sz w:val="24"/>
        </w:rPr>
        <w:t>Swanevelder et al. (2019) acompanharam 2.902 doadores de primeira vez de origem africana na África do Sul. Em um ano, 54% tentaram ao menos uma nova doação. Concordância forte com o enunciado de que doar é um modo fácil de fazer diferença (OR 2,0; IC 95%: 1,3–2,9) e ter doado em resposta a anúncios (OR 1,6; IC 95%: 1,2–2,1) associaram-se ao retorno; mau atendimento ao “cliente” associou-se a não retorno (OR 0,45; IC 95%: 0,28–0,71). O estudo liga motivador pró-social, comunicação de massa e qualidade do serviço a comportamento observado, não apenas a intenção.</w:t>
      </w:r>
    </w:p>
    <w:p>
      <w:pPr>
        <w:spacing w:line="480" w:lineRule="auto"/>
        <w:ind w:firstLine="720"/>
        <w:jc w:val="both"/>
      </w:pPr>
      <w:r>
        <w:rPr>
          <w:rFonts w:ascii="Times New Roman" w:hAnsi="Times New Roman" w:eastAsia="Times New Roman"/>
          <w:b w:val="0"/>
          <w:sz w:val="24"/>
        </w:rPr>
        <w:t>Asamoah-Akuoko et al. (2021) investigaram intenção de retorno em 505 doadores de primeira vez em Gana. Preditores positivos incluíram incentivos motivacionais (OR 1,67), facilidade de acesso ao local (OR 2,65), lembretes por SMS ou e-mail (OR 2,84) e anúncios em televisão, rádio ou jornal (OR 2,97). Preditores negativos incluíram acesso preferencial a transfusões (“créditos de sangue”), desejo de conhecer resultados de testes e desconhecimento ou desconfiança sobre o destino do sangue após a doação. Transparência sobre o uso do sangue e recusa de contraprestações ambíguas aparecem, assim, como temas éticos com efeito comportamental.</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Tabela 2</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Intervenções e preditores de retorno na janela da primeira doação (achados reportados pelas fontes)</w:t>
      </w:r>
      <w:r>
        <w:rPr>
          <w:rFonts w:ascii="Times New Roman" w:hAnsi="Times New Roman" w:eastAsia="Times New Roman"/>
          <w:b w:val="0"/>
          <w:sz w:val="24"/>
        </w:rP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eastAsia="Times New Roman"/>
                <w:b/>
                <w:sz w:val="20"/>
              </w:rPr>
              <w:t>Estudo</w:t>
            </w:r>
          </w:p>
        </w:tc>
        <w:tc>
          <w:tcPr>
            <w:tcW w:type="dxa" w:w="2340"/>
          </w:tcPr>
          <w:p>
            <w:pPr>
              <w:spacing w:line="240" w:lineRule="auto"/>
            </w:pPr>
            <w:r/>
            <w:r>
              <w:rPr>
                <w:rFonts w:ascii="Times New Roman" w:hAnsi="Times New Roman" w:eastAsia="Times New Roman"/>
                <w:b/>
                <w:sz w:val="20"/>
              </w:rPr>
              <w:t>Desenho e N</w:t>
            </w:r>
          </w:p>
        </w:tc>
        <w:tc>
          <w:tcPr>
            <w:tcW w:type="dxa" w:w="2340"/>
          </w:tcPr>
          <w:p>
            <w:pPr>
              <w:spacing w:line="240" w:lineRule="auto"/>
            </w:pPr>
            <w:r/>
            <w:r>
              <w:rPr>
                <w:rFonts w:ascii="Times New Roman" w:hAnsi="Times New Roman" w:eastAsia="Times New Roman"/>
                <w:b/>
                <w:sz w:val="20"/>
              </w:rPr>
              <w:t>Desfecho</w:t>
            </w:r>
          </w:p>
        </w:tc>
        <w:tc>
          <w:tcPr>
            <w:tcW w:type="dxa" w:w="2340"/>
          </w:tcPr>
          <w:p>
            <w:pPr>
              <w:spacing w:line="240" w:lineRule="auto"/>
            </w:pPr>
            <w:r/>
            <w:r>
              <w:rPr>
                <w:rFonts w:ascii="Times New Roman" w:hAnsi="Times New Roman" w:eastAsia="Times New Roman"/>
                <w:b/>
                <w:sz w:val="20"/>
              </w:rPr>
              <w:t>Resultado principal reportado</w:t>
            </w:r>
          </w:p>
        </w:tc>
      </w:tr>
      <w:tr>
        <w:tc>
          <w:tcPr>
            <w:tcW w:type="dxa" w:w="2340"/>
          </w:tcPr>
          <w:p>
            <w:pPr>
              <w:spacing w:line="240" w:lineRule="auto"/>
            </w:pPr>
            <w:r/>
            <w:r>
              <w:rPr>
                <w:rFonts w:ascii="Times New Roman" w:hAnsi="Times New Roman" w:eastAsia="Times New Roman"/>
                <w:b w:val="0"/>
                <w:sz w:val="20"/>
              </w:rPr>
              <w:t>Hashemi et al. (2019)</w:t>
            </w:r>
          </w:p>
        </w:tc>
        <w:tc>
          <w:tcPr>
            <w:tcW w:type="dxa" w:w="2340"/>
          </w:tcPr>
          <w:p>
            <w:pPr>
              <w:spacing w:line="240" w:lineRule="auto"/>
            </w:pPr>
            <w:r/>
            <w:r>
              <w:rPr>
                <w:rFonts w:ascii="Times New Roman" w:hAnsi="Times New Roman" w:eastAsia="Times New Roman"/>
                <w:b w:val="0"/>
                <w:sz w:val="20"/>
              </w:rPr>
              <w:t>Ensaio de campo; 1.356 novatos</w:t>
            </w:r>
          </w:p>
        </w:tc>
        <w:tc>
          <w:tcPr>
            <w:tcW w:type="dxa" w:w="2340"/>
          </w:tcPr>
          <w:p>
            <w:pPr>
              <w:spacing w:line="240" w:lineRule="auto"/>
            </w:pPr>
            <w:r/>
            <w:r>
              <w:rPr>
                <w:rFonts w:ascii="Times New Roman" w:hAnsi="Times New Roman" w:eastAsia="Times New Roman"/>
                <w:b w:val="0"/>
                <w:sz w:val="20"/>
              </w:rPr>
              <w:t>Retorno em 6 meses</w:t>
            </w:r>
          </w:p>
        </w:tc>
        <w:tc>
          <w:tcPr>
            <w:tcW w:type="dxa" w:w="2340"/>
          </w:tcPr>
          <w:p>
            <w:pPr>
              <w:spacing w:line="240" w:lineRule="auto"/>
            </w:pPr>
            <w:r/>
            <w:r>
              <w:rPr>
                <w:rFonts w:ascii="Times New Roman" w:hAnsi="Times New Roman" w:eastAsia="Times New Roman"/>
                <w:b w:val="0"/>
                <w:sz w:val="20"/>
              </w:rPr>
              <w:t>Cartas emocional/educativa e telefone &gt; controle; reunião motivacional ≈ controle</w:t>
            </w:r>
          </w:p>
        </w:tc>
      </w:tr>
      <w:tr>
        <w:tc>
          <w:tcPr>
            <w:tcW w:type="dxa" w:w="2340"/>
          </w:tcPr>
          <w:p>
            <w:pPr>
              <w:spacing w:line="240" w:lineRule="auto"/>
            </w:pPr>
            <w:r/>
            <w:r>
              <w:rPr>
                <w:rFonts w:ascii="Times New Roman" w:hAnsi="Times New Roman" w:eastAsia="Times New Roman"/>
                <w:b w:val="0"/>
                <w:sz w:val="20"/>
              </w:rPr>
              <w:t>Wevers et al. (2015)</w:t>
            </w:r>
          </w:p>
        </w:tc>
        <w:tc>
          <w:tcPr>
            <w:tcW w:type="dxa" w:w="2340"/>
          </w:tcPr>
          <w:p>
            <w:pPr>
              <w:spacing w:line="240" w:lineRule="auto"/>
            </w:pPr>
            <w:r/>
            <w:r>
              <w:rPr>
                <w:rFonts w:ascii="Times New Roman" w:hAnsi="Times New Roman" w:eastAsia="Times New Roman"/>
                <w:b w:val="0"/>
                <w:sz w:val="20"/>
              </w:rPr>
              <w:t>Experimento; 937 recém-registrados</w:t>
            </w:r>
          </w:p>
        </w:tc>
        <w:tc>
          <w:tcPr>
            <w:tcW w:type="dxa" w:w="2340"/>
          </w:tcPr>
          <w:p>
            <w:pPr>
              <w:spacing w:line="240" w:lineRule="auto"/>
            </w:pPr>
            <w:r/>
            <w:r>
              <w:rPr>
                <w:rFonts w:ascii="Times New Roman" w:hAnsi="Times New Roman" w:eastAsia="Times New Roman"/>
                <w:b w:val="0"/>
                <w:sz w:val="20"/>
              </w:rPr>
              <w:t>Primeiro retorno</w:t>
            </w:r>
          </w:p>
        </w:tc>
        <w:tc>
          <w:tcPr>
            <w:tcW w:type="dxa" w:w="2340"/>
          </w:tcPr>
          <w:p>
            <w:pPr>
              <w:spacing w:line="240" w:lineRule="auto"/>
            </w:pPr>
            <w:r/>
            <w:r>
              <w:rPr>
                <w:rFonts w:ascii="Times New Roman" w:hAnsi="Times New Roman" w:eastAsia="Times New Roman"/>
                <w:b w:val="0"/>
                <w:sz w:val="20"/>
              </w:rPr>
              <w:t>Intenção de implementação + compromisso: OR 1,65 vs. controle</w:t>
            </w:r>
          </w:p>
        </w:tc>
      </w:tr>
      <w:tr>
        <w:tc>
          <w:tcPr>
            <w:tcW w:type="dxa" w:w="2340"/>
          </w:tcPr>
          <w:p>
            <w:pPr>
              <w:spacing w:line="240" w:lineRule="auto"/>
            </w:pPr>
            <w:r/>
            <w:r>
              <w:rPr>
                <w:rFonts w:ascii="Times New Roman" w:hAnsi="Times New Roman" w:eastAsia="Times New Roman"/>
                <w:b w:val="0"/>
                <w:sz w:val="20"/>
              </w:rPr>
              <w:t>Swanevelder et al. (2019)</w:t>
            </w:r>
          </w:p>
        </w:tc>
        <w:tc>
          <w:tcPr>
            <w:tcW w:type="dxa" w:w="2340"/>
          </w:tcPr>
          <w:p>
            <w:pPr>
              <w:spacing w:line="240" w:lineRule="auto"/>
            </w:pPr>
            <w:r/>
            <w:r>
              <w:rPr>
                <w:rFonts w:ascii="Times New Roman" w:hAnsi="Times New Roman" w:eastAsia="Times New Roman"/>
                <w:b w:val="0"/>
                <w:sz w:val="20"/>
              </w:rPr>
              <w:t>Coorte; 2.902 novatos</w:t>
            </w:r>
          </w:p>
        </w:tc>
        <w:tc>
          <w:tcPr>
            <w:tcW w:type="dxa" w:w="2340"/>
          </w:tcPr>
          <w:p>
            <w:pPr>
              <w:spacing w:line="240" w:lineRule="auto"/>
            </w:pPr>
            <w:r/>
            <w:r>
              <w:rPr>
                <w:rFonts w:ascii="Times New Roman" w:hAnsi="Times New Roman" w:eastAsia="Times New Roman"/>
                <w:b w:val="0"/>
                <w:sz w:val="20"/>
              </w:rPr>
              <w:t>Tentativa de retorno em 1 ano</w:t>
            </w:r>
          </w:p>
        </w:tc>
        <w:tc>
          <w:tcPr>
            <w:tcW w:type="dxa" w:w="2340"/>
          </w:tcPr>
          <w:p>
            <w:pPr>
              <w:spacing w:line="240" w:lineRule="auto"/>
            </w:pPr>
            <w:r/>
            <w:r>
              <w:rPr>
                <w:rFonts w:ascii="Times New Roman" w:hAnsi="Times New Roman" w:eastAsia="Times New Roman"/>
                <w:b w:val="0"/>
                <w:sz w:val="20"/>
              </w:rPr>
              <w:t>54% retornaram; pró-socialidade e anúncios predizem retorno; mau serviço prediz não retorno</w:t>
            </w:r>
          </w:p>
        </w:tc>
      </w:tr>
      <w:tr>
        <w:tc>
          <w:tcPr>
            <w:tcW w:type="dxa" w:w="2340"/>
          </w:tcPr>
          <w:p>
            <w:pPr>
              <w:spacing w:line="240" w:lineRule="auto"/>
            </w:pPr>
            <w:r/>
            <w:r>
              <w:rPr>
                <w:rFonts w:ascii="Times New Roman" w:hAnsi="Times New Roman" w:eastAsia="Times New Roman"/>
                <w:b w:val="0"/>
                <w:sz w:val="20"/>
              </w:rPr>
              <w:t>Asamoah-Akuoko et al. (2021)</w:t>
            </w:r>
          </w:p>
        </w:tc>
        <w:tc>
          <w:tcPr>
            <w:tcW w:type="dxa" w:w="2340"/>
          </w:tcPr>
          <w:p>
            <w:pPr>
              <w:spacing w:line="240" w:lineRule="auto"/>
            </w:pPr>
            <w:r/>
            <w:r>
              <w:rPr>
                <w:rFonts w:ascii="Times New Roman" w:hAnsi="Times New Roman" w:eastAsia="Times New Roman"/>
                <w:b w:val="0"/>
                <w:sz w:val="20"/>
              </w:rPr>
              <w:t>Transversal; 505 novatos</w:t>
            </w:r>
          </w:p>
        </w:tc>
        <w:tc>
          <w:tcPr>
            <w:tcW w:type="dxa" w:w="2340"/>
          </w:tcPr>
          <w:p>
            <w:pPr>
              <w:spacing w:line="240" w:lineRule="auto"/>
            </w:pPr>
            <w:r/>
            <w:r>
              <w:rPr>
                <w:rFonts w:ascii="Times New Roman" w:hAnsi="Times New Roman" w:eastAsia="Times New Roman"/>
                <w:b w:val="0"/>
                <w:sz w:val="20"/>
              </w:rPr>
              <w:t>Intenção de retorno em 4 meses</w:t>
            </w:r>
          </w:p>
        </w:tc>
        <w:tc>
          <w:tcPr>
            <w:tcW w:type="dxa" w:w="2340"/>
          </w:tcPr>
          <w:p>
            <w:pPr>
              <w:spacing w:line="240" w:lineRule="auto"/>
            </w:pPr>
            <w:r/>
            <w:r>
              <w:rPr>
                <w:rFonts w:ascii="Times New Roman" w:hAnsi="Times New Roman" w:eastAsia="Times New Roman"/>
                <w:b w:val="0"/>
                <w:sz w:val="20"/>
              </w:rPr>
              <w:t>Acesso, lembretes e mídia elevam intenção; opacidade do destino do sangue a reduz</w:t>
            </w:r>
          </w:p>
        </w:tc>
      </w:tr>
    </w:tbl>
    <w:p>
      <w:pPr>
        <w:spacing w:line="480" w:lineRule="auto" w:after="0"/>
      </w:pPr>
    </w:p>
    <w:p>
      <w:pPr>
        <w:spacing w:line="480" w:lineRule="auto"/>
        <w:ind w:firstLine="720"/>
        <w:jc w:val="both"/>
      </w:pPr>
      <w:r>
        <w:rPr>
          <w:rFonts w:ascii="Times New Roman" w:hAnsi="Times New Roman" w:eastAsia="Times New Roman"/>
          <w:b w:val="0"/>
          <w:sz w:val="24"/>
        </w:rPr>
        <w:t>A síntese da Tabela 2 sustenta H1 de modo convergente, não meta-analítico: comunicação personalizada, lembretes e técnicas de planejamento do comportamento superam, nos estudos disponíveis, tanto o nada fazer quanto formatos motivacionais genéricos. Incentivos materiais ocupam posição intermediária e contextualmente instável.</w:t>
      </w:r>
    </w:p>
    <w:p>
      <w:pPr>
        <w:spacing w:line="480" w:lineRule="auto"/>
        <w:jc w:val="left"/>
      </w:pPr>
      <w:r>
        <w:rPr>
          <w:rFonts w:ascii="Times New Roman" w:hAnsi="Times New Roman" w:eastAsia="Times New Roman"/>
          <w:b/>
          <w:sz w:val="24"/>
        </w:rPr>
        <w:t>Lapso após a inserção no serviço</w:t>
      </w:r>
    </w:p>
    <w:p>
      <w:pPr>
        <w:spacing w:line="480" w:lineRule="auto"/>
        <w:ind w:firstLine="720"/>
        <w:jc w:val="both"/>
      </w:pPr>
      <w:r>
        <w:rPr>
          <w:rFonts w:ascii="Times New Roman" w:hAnsi="Times New Roman" w:eastAsia="Times New Roman"/>
          <w:b w:val="0"/>
          <w:sz w:val="24"/>
        </w:rPr>
        <w:t>Retenção não se esgota no segundo ato. Germain et al. (2007) mostraram que doadores em lapso diferem de doadores atuais em determinantes do retorno, o que recomenda reconquista distinta da captação de nunca-doadores. Gemelli et al. (2017) caracterizaram doadores frequentes de sangue total e preditores de lapso, lembrando que o painel “fiel” também se desgasta por adiamentos, mudança de vida, cansaço da rotina ou falha de convite no intervalo certo.</w:t>
      </w:r>
    </w:p>
    <w:p>
      <w:pPr>
        <w:spacing w:line="480" w:lineRule="auto"/>
        <w:ind w:firstLine="720"/>
        <w:jc w:val="both"/>
      </w:pPr>
      <w:r>
        <w:rPr>
          <w:rFonts w:ascii="Times New Roman" w:hAnsi="Times New Roman" w:eastAsia="Times New Roman"/>
          <w:b w:val="0"/>
          <w:sz w:val="24"/>
        </w:rPr>
        <w:t>A revisão de Van Dongen (2015) reuniu essa trajetória sob a fórmula da entrada fácil e da saída igualmente fácil. Combinada a (Van Dongen et al., 2013), a mensagem operacional é que o serviço deve gerir três rupturas: a que ocorre imediatamente após a estreia, a que se segue a um evento aversivo e a que se instala silenciosamente em carreiras longas.</w:t>
      </w:r>
    </w:p>
    <w:p>
      <w:pPr>
        <w:spacing w:line="480" w:lineRule="auto"/>
        <w:jc w:val="left"/>
      </w:pPr>
      <w:r>
        <w:rPr>
          <w:rFonts w:ascii="Times New Roman" w:hAnsi="Times New Roman" w:eastAsia="Times New Roman"/>
          <w:b/>
          <w:sz w:val="24"/>
        </w:rPr>
        <w:t>Contexto brasileiro: prevalência, percepções e enfermagem</w:t>
      </w:r>
    </w:p>
    <w:p>
      <w:pPr>
        <w:spacing w:line="480" w:lineRule="auto"/>
        <w:ind w:firstLine="720"/>
        <w:jc w:val="both"/>
      </w:pPr>
      <w:r>
        <w:rPr>
          <w:rFonts w:ascii="Times New Roman" w:hAnsi="Times New Roman" w:eastAsia="Times New Roman"/>
          <w:b w:val="0"/>
          <w:sz w:val="24"/>
        </w:rPr>
        <w:t>Zago et al. (2010) estimaram prevalência de doação de sangue e fatores associados em Pelotas, no Rio Grande do Sul, oferecendo âncora populacional brasileira: doar não é hábito majoritário, e associações sociodemográficas importam para o desenho de captação territorial. Sem pretender atualizar a prevalência daquele inquérito, o estudo permanece útil como evidência de que barreiras e diferenciais sociais se observam também em município brasileiro com tradição de pesquisa epidemiológica.</w:t>
      </w:r>
    </w:p>
    <w:p>
      <w:pPr>
        <w:spacing w:line="480" w:lineRule="auto"/>
        <w:ind w:firstLine="720"/>
        <w:jc w:val="both"/>
      </w:pPr>
      <w:r>
        <w:rPr>
          <w:rFonts w:ascii="Times New Roman" w:hAnsi="Times New Roman" w:eastAsia="Times New Roman"/>
          <w:b w:val="0"/>
          <w:sz w:val="24"/>
        </w:rPr>
        <w:t>Conceição et al. (2016) examinaram percepções de doadores e de receptores sobre a doação, evidenciando que o significado do ato não é idêntico nos dois polos da cadeia e que esclarecer o destino e o valor do sangue pode reduzir opacidade — tema que reaparece, em outro país, nos preditores negativos de Asamoah-Akuoko et al. (2021).</w:t>
      </w:r>
    </w:p>
    <w:p>
      <w:pPr>
        <w:spacing w:line="480" w:lineRule="auto"/>
        <w:ind w:firstLine="720"/>
        <w:jc w:val="both"/>
      </w:pPr>
      <w:r>
        <w:rPr>
          <w:rFonts w:ascii="Times New Roman" w:hAnsi="Times New Roman" w:eastAsia="Times New Roman"/>
          <w:b w:val="0"/>
          <w:sz w:val="24"/>
        </w:rPr>
        <w:t>Giacomini e Lunardi Filho (2010) investigaram estratégias de fidelização na perspectiva da enfermagem. Os entrevistados atribuíram o baixo número de doadores voluntários sobretudo a medos e preconceitos (passar mal, contaminação), à falta de conhecimento sobre o processo e a uma cultura que pouco elabora o tema. As estratégias propostas concentram-se em educação, desconstrução de temores e construção de vínculo, o que alinha o discurso profissional brasileiro aos achados internacionais sobre serviço, informação e autoeficácia (Bednall &amp; Bove, 2011; Swanevelder et al., 2019).</w:t>
      </w:r>
    </w:p>
    <w:p>
      <w:pPr>
        <w:spacing w:line="480" w:lineRule="auto"/>
        <w:jc w:val="left"/>
      </w:pPr>
      <w:r>
        <w:rPr>
          <w:rFonts w:ascii="Times New Roman" w:hAnsi="Times New Roman" w:eastAsia="Times New Roman"/>
          <w:b/>
          <w:sz w:val="24"/>
        </w:rPr>
        <w:t>Implicações descritivas para o processo de enfermagem</w:t>
      </w:r>
    </w:p>
    <w:p>
      <w:pPr>
        <w:spacing w:line="480" w:lineRule="auto"/>
        <w:ind w:firstLine="720"/>
        <w:jc w:val="both"/>
      </w:pPr>
      <w:r>
        <w:rPr>
          <w:rFonts w:ascii="Times New Roman" w:hAnsi="Times New Roman" w:eastAsia="Times New Roman"/>
          <w:b w:val="0"/>
          <w:sz w:val="24"/>
        </w:rPr>
        <w:t>A leitura conjunta do corpus autoriza descrever quatro momentos em que a enfermagem incide sobre a probabilidade de retorno, sem transformar a síntese em protocolo clínico validado.</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Tabela 3</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Momentos do processo de enfermagem com nexo de retenção derivado da síntese</w:t>
      </w:r>
      <w:r>
        <w:rPr>
          <w:rFonts w:ascii="Times New Roman" w:hAnsi="Times New Roman" w:eastAsia="Times New Roman"/>
          <w:b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eastAsia="Times New Roman"/>
                <w:b/>
                <w:sz w:val="20"/>
              </w:rPr>
              <w:t>Momento</w:t>
            </w:r>
          </w:p>
        </w:tc>
        <w:tc>
          <w:tcPr>
            <w:tcW w:type="dxa" w:w="3120"/>
          </w:tcPr>
          <w:p>
            <w:pPr>
              <w:spacing w:line="240" w:lineRule="auto"/>
            </w:pPr>
            <w:r/>
            <w:r>
              <w:rPr>
                <w:rFonts w:ascii="Times New Roman" w:hAnsi="Times New Roman" w:eastAsia="Times New Roman"/>
                <w:b/>
                <w:sz w:val="20"/>
              </w:rPr>
              <w:t>Ação de enfermagem</w:t>
            </w:r>
          </w:p>
        </w:tc>
        <w:tc>
          <w:tcPr>
            <w:tcW w:type="dxa" w:w="3120"/>
          </w:tcPr>
          <w:p>
            <w:pPr>
              <w:spacing w:line="240" w:lineRule="auto"/>
            </w:pPr>
            <w:r/>
            <w:r>
              <w:rPr>
                <w:rFonts w:ascii="Times New Roman" w:hAnsi="Times New Roman" w:eastAsia="Times New Roman"/>
                <w:b/>
                <w:sz w:val="20"/>
              </w:rPr>
              <w:t>Nexo com a evidência</w:t>
            </w:r>
          </w:p>
        </w:tc>
      </w:tr>
      <w:tr>
        <w:tc>
          <w:tcPr>
            <w:tcW w:type="dxa" w:w="3120"/>
          </w:tcPr>
          <w:p>
            <w:pPr>
              <w:spacing w:line="240" w:lineRule="auto"/>
            </w:pPr>
            <w:r/>
            <w:r>
              <w:rPr>
                <w:rFonts w:ascii="Times New Roman" w:hAnsi="Times New Roman" w:eastAsia="Times New Roman"/>
                <w:b w:val="0"/>
                <w:sz w:val="20"/>
              </w:rPr>
              <w:t>Antes da coleta</w:t>
            </w:r>
          </w:p>
        </w:tc>
        <w:tc>
          <w:tcPr>
            <w:tcW w:type="dxa" w:w="3120"/>
          </w:tcPr>
          <w:p>
            <w:pPr>
              <w:spacing w:line="240" w:lineRule="auto"/>
            </w:pPr>
            <w:r/>
            <w:r>
              <w:rPr>
                <w:rFonts w:ascii="Times New Roman" w:hAnsi="Times New Roman" w:eastAsia="Times New Roman"/>
                <w:b w:val="0"/>
                <w:sz w:val="20"/>
              </w:rPr>
              <w:t>Acolhimento, informação sobre o processo, redução de medo e de opacidade</w:t>
            </w:r>
          </w:p>
        </w:tc>
        <w:tc>
          <w:tcPr>
            <w:tcW w:type="dxa" w:w="3120"/>
          </w:tcPr>
          <w:p>
            <w:pPr>
              <w:spacing w:line="240" w:lineRule="auto"/>
            </w:pPr>
            <w:r/>
            <w:r>
              <w:rPr>
                <w:rFonts w:ascii="Times New Roman" w:hAnsi="Times New Roman" w:eastAsia="Times New Roman"/>
                <w:b w:val="0"/>
                <w:sz w:val="20"/>
              </w:rPr>
              <w:t>Barreiras de conhecimento e medo (Bednall &amp; Bove, 2011; Giacomini &amp; Lunardi Filho, 2010); desconfiança quanto ao destino do sangue (Asamoah-Akuoko et al., 2021)</w:t>
            </w:r>
          </w:p>
        </w:tc>
      </w:tr>
      <w:tr>
        <w:tc>
          <w:tcPr>
            <w:tcW w:type="dxa" w:w="3120"/>
          </w:tcPr>
          <w:p>
            <w:pPr>
              <w:spacing w:line="240" w:lineRule="auto"/>
            </w:pPr>
            <w:r/>
            <w:r>
              <w:rPr>
                <w:rFonts w:ascii="Times New Roman" w:hAnsi="Times New Roman" w:eastAsia="Times New Roman"/>
                <w:b w:val="0"/>
                <w:sz w:val="20"/>
              </w:rPr>
              <w:t>Durante a triagem</w:t>
            </w:r>
          </w:p>
        </w:tc>
        <w:tc>
          <w:tcPr>
            <w:tcW w:type="dxa" w:w="3120"/>
          </w:tcPr>
          <w:p>
            <w:pPr>
              <w:spacing w:line="240" w:lineRule="auto"/>
            </w:pPr>
            <w:r/>
            <w:r>
              <w:rPr>
                <w:rFonts w:ascii="Times New Roman" w:hAnsi="Times New Roman" w:eastAsia="Times New Roman"/>
                <w:b w:val="0"/>
                <w:sz w:val="20"/>
              </w:rPr>
              <w:t>Convite a um plano concreto de retorno (quando e como)</w:t>
            </w:r>
          </w:p>
        </w:tc>
        <w:tc>
          <w:tcPr>
            <w:tcW w:type="dxa" w:w="3120"/>
          </w:tcPr>
          <w:p>
            <w:pPr>
              <w:spacing w:line="240" w:lineRule="auto"/>
            </w:pPr>
            <w:r/>
            <w:r>
              <w:rPr>
                <w:rFonts w:ascii="Times New Roman" w:hAnsi="Times New Roman" w:eastAsia="Times New Roman"/>
                <w:b w:val="0"/>
                <w:sz w:val="20"/>
              </w:rPr>
              <w:t>Intenção de implementação e compromisso (Wevers et al., 2015); controle percebido (Masser et al., 2009)</w:t>
            </w:r>
          </w:p>
        </w:tc>
      </w:tr>
      <w:tr>
        <w:tc>
          <w:tcPr>
            <w:tcW w:type="dxa" w:w="3120"/>
          </w:tcPr>
          <w:p>
            <w:pPr>
              <w:spacing w:line="240" w:lineRule="auto"/>
            </w:pPr>
            <w:r/>
            <w:r>
              <w:rPr>
                <w:rFonts w:ascii="Times New Roman" w:hAnsi="Times New Roman" w:eastAsia="Times New Roman"/>
                <w:b w:val="0"/>
                <w:sz w:val="20"/>
              </w:rPr>
              <w:t>Após a doação</w:t>
            </w:r>
          </w:p>
        </w:tc>
        <w:tc>
          <w:tcPr>
            <w:tcW w:type="dxa" w:w="3120"/>
          </w:tcPr>
          <w:p>
            <w:pPr>
              <w:spacing w:line="240" w:lineRule="auto"/>
            </w:pPr>
            <w:r/>
            <w:r>
              <w:rPr>
                <w:rFonts w:ascii="Times New Roman" w:hAnsi="Times New Roman" w:eastAsia="Times New Roman"/>
                <w:b w:val="0"/>
                <w:sz w:val="20"/>
              </w:rPr>
              <w:t>Avaliação da experiência de serviço e contato breve educativo ou emocional</w:t>
            </w:r>
          </w:p>
        </w:tc>
        <w:tc>
          <w:tcPr>
            <w:tcW w:type="dxa" w:w="3120"/>
          </w:tcPr>
          <w:p>
            <w:pPr>
              <w:spacing w:line="240" w:lineRule="auto"/>
            </w:pPr>
            <w:r/>
            <w:r>
              <w:rPr>
                <w:rFonts w:ascii="Times New Roman" w:hAnsi="Times New Roman" w:eastAsia="Times New Roman"/>
                <w:b w:val="0"/>
                <w:sz w:val="20"/>
              </w:rPr>
              <w:t>Cartas e telefone (Hashemi et al., 2019); qualidade do atendimento (Swanevelder et al., 2019)</w:t>
            </w:r>
          </w:p>
        </w:tc>
      </w:tr>
      <w:tr>
        <w:tc>
          <w:tcPr>
            <w:tcW w:type="dxa" w:w="3120"/>
          </w:tcPr>
          <w:p>
            <w:pPr>
              <w:spacing w:line="240" w:lineRule="auto"/>
            </w:pPr>
            <w:r/>
            <w:r>
              <w:rPr>
                <w:rFonts w:ascii="Times New Roman" w:hAnsi="Times New Roman" w:eastAsia="Times New Roman"/>
                <w:b w:val="0"/>
                <w:sz w:val="20"/>
              </w:rPr>
              <w:t>Ao longo da carreira</w:t>
            </w:r>
          </w:p>
        </w:tc>
        <w:tc>
          <w:tcPr>
            <w:tcW w:type="dxa" w:w="3120"/>
          </w:tcPr>
          <w:p>
            <w:pPr>
              <w:spacing w:line="240" w:lineRule="auto"/>
            </w:pPr>
            <w:r/>
            <w:r>
              <w:rPr>
                <w:rFonts w:ascii="Times New Roman" w:hAnsi="Times New Roman" w:eastAsia="Times New Roman"/>
                <w:b w:val="0"/>
                <w:sz w:val="20"/>
              </w:rPr>
              <w:t>Lembretes, reconquista de lapsos e vigilância de preditores de abandono</w:t>
            </w:r>
          </w:p>
        </w:tc>
        <w:tc>
          <w:tcPr>
            <w:tcW w:type="dxa" w:w="3120"/>
          </w:tcPr>
          <w:p>
            <w:pPr>
              <w:spacing w:line="240" w:lineRule="auto"/>
            </w:pPr>
            <w:r/>
            <w:r>
              <w:rPr>
                <w:rFonts w:ascii="Times New Roman" w:hAnsi="Times New Roman" w:eastAsia="Times New Roman"/>
                <w:b w:val="0"/>
                <w:sz w:val="20"/>
              </w:rPr>
              <w:t>Lembretes (Asamoah-Akuoko et al., 2021); lapso (Germain et al., 2007; Gemelli et al., 2017)</w:t>
            </w:r>
          </w:p>
        </w:tc>
      </w:tr>
    </w:tbl>
    <w:p>
      <w:pPr>
        <w:spacing w:line="480" w:lineRule="auto" w:after="0"/>
      </w:pP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Figura 1</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Modelo lógico da retenção: da estreia à carreira</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w:t>
      </w:r>
    </w:p>
    <w:p>
      <w:pPr>
        <w:spacing w:line="480" w:lineRule="auto"/>
        <w:ind w:firstLine="720"/>
        <w:jc w:val="both"/>
      </w:pPr>
      <w:r>
        <w:rPr>
          <w:rFonts w:ascii="Times New Roman" w:hAnsi="Times New Roman" w:eastAsia="Times New Roman"/>
          <w:b w:val="0"/>
          <w:sz w:val="24"/>
        </w:rPr>
        <w:t>Elegibilidade → Primeira doação → Experiência de serviço/educação</w:t>
      </w:r>
    </w:p>
    <w:p>
      <w:pPr>
        <w:spacing w:line="480" w:lineRule="auto"/>
        <w:ind w:firstLine="720"/>
        <w:jc w:val="both"/>
      </w:pPr>
      <w:r>
        <w:rPr>
          <w:rFonts w:ascii="Times New Roman" w:hAnsi="Times New Roman" w:eastAsia="Times New Roman"/>
          <w:b w:val="0"/>
          <w:sz w:val="24"/>
        </w:rPr>
        <w:t xml:space="preserve">        → Intenção e plano de retorno → Segunda doação</w:t>
      </w:r>
    </w:p>
    <w:p>
      <w:pPr>
        <w:spacing w:line="480" w:lineRule="auto"/>
        <w:ind w:firstLine="720"/>
        <w:jc w:val="both"/>
      </w:pPr>
      <w:r>
        <w:rPr>
          <w:rFonts w:ascii="Times New Roman" w:hAnsi="Times New Roman" w:eastAsia="Times New Roman"/>
          <w:b w:val="0"/>
          <w:sz w:val="24"/>
        </w:rPr>
        <w:t xml:space="preserve">        → Manutenção (convite no intervalo; prevenção de lapso)</w:t>
      </w:r>
    </w:p>
    <w:p>
      <w:pPr>
        <w:spacing w:line="480" w:lineRule="auto"/>
        <w:ind w:firstLine="720"/>
        <w:jc w:val="both"/>
      </w:pPr>
      <w:r>
        <w:rPr>
          <w:rFonts w:ascii="Times New Roman" w:hAnsi="Times New Roman" w:eastAsia="Times New Roman"/>
          <w:b w:val="0"/>
          <w:sz w:val="24"/>
        </w:rPr>
        <w:t>```</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Nota.</w:t>
      </w:r>
      <w:r>
        <w:rPr>
          <w:rFonts w:ascii="Times New Roman" w:hAnsi="Times New Roman" w:eastAsia="Times New Roman"/>
          <w:b w:val="0"/>
          <w:sz w:val="24"/>
        </w:rPr>
        <w:t xml:space="preserve"> Esquema heurístico derivado da síntese narrativa; não constitui diretriz assistencial.</w:t>
      </w:r>
    </w:p>
    <w:p>
      <w:pPr>
        <w:spacing w:line="480" w:lineRule="auto"/>
        <w:ind w:firstLine="720"/>
        <w:jc w:val="both"/>
      </w:pPr>
      <w:r>
        <w:rPr>
          <w:rFonts w:ascii="Times New Roman" w:hAnsi="Times New Roman" w:eastAsia="Times New Roman"/>
          <w:b w:val="0"/>
          <w:sz w:val="24"/>
        </w:rPr>
        <w:t>O modelo da Figura 1 torna visível H2: a enfermagem não aparece apenas no instante da punção, e sim nos nós em que informação, plano, experiência e seguimento se decidem.</w:t>
      </w:r>
    </w:p>
    <w:p>
      <w:pPr>
        <w:spacing w:line="480" w:lineRule="auto"/>
        <w:jc w:val="center"/>
      </w:pPr>
      <w:r>
        <w:rPr>
          <w:rFonts w:ascii="Times New Roman" w:hAnsi="Times New Roman" w:eastAsia="Times New Roman"/>
          <w:b/>
          <w:sz w:val="24"/>
        </w:rPr>
        <w:t>Discussão</w:t>
      </w:r>
    </w:p>
    <w:p>
      <w:pPr>
        <w:spacing w:line="480" w:lineRule="auto"/>
        <w:ind w:firstLine="720"/>
        <w:jc w:val="both"/>
      </w:pPr>
      <w:r>
        <w:rPr>
          <w:rFonts w:ascii="Times New Roman" w:hAnsi="Times New Roman" w:eastAsia="Times New Roman"/>
          <w:b w:val="0"/>
          <w:sz w:val="24"/>
        </w:rPr>
        <w:t>Os eixos da síntese são coerentes com as hipóteses. Quanto à H1, a evidência de campo de Hashemi et al. (2019) e o experimento de Wevers et al. (2015) mostram que intervenções estruturadas — comunicação escrita com conteúdo emocional ou educativo, lembrete telefônico e a dupla intenção de implementação plus compromisso — elevam o retorno de novatos acima do controle, ao passo que reunião motivacional genérica não o fez no ensaio iraniano. A revisão de Bagot et al. (2016) já havia relativizado o efeito de lembretes e incentivos tradicionais e destacado o peso de suporte psicológico individualizado; o corpus posterior não anula essa cautela, mas especifica formatos de baixo custo que funcionam melhor do que o apelo indiferenciado.</w:t>
      </w:r>
    </w:p>
    <w:p>
      <w:pPr>
        <w:spacing w:line="480" w:lineRule="auto"/>
        <w:ind w:firstLine="720"/>
        <w:jc w:val="both"/>
      </w:pPr>
      <w:r>
        <w:rPr>
          <w:rFonts w:ascii="Times New Roman" w:hAnsi="Times New Roman" w:eastAsia="Times New Roman"/>
          <w:b w:val="0"/>
          <w:sz w:val="24"/>
        </w:rPr>
        <w:t>Quanto à H2, Swanevelder et al. (2019) associaram mau atendimento a não retorno, Bednall e Bove (2011) incluíram experiência negativa de serviço na taxonomia de barreiras, e Giacomini e Lunardi Filho (2010) descreveram a enfermagem como agente de educação e de vínculo. Esses achados não “provam” mediação estatística no sentido de análise de caminhos; sustentam, como hipótese de síntese, que o encontro assistencial é mecanismo organizacional da retenção.</w:t>
      </w:r>
    </w:p>
    <w:p>
      <w:pPr>
        <w:spacing w:line="480" w:lineRule="auto"/>
        <w:jc w:val="left"/>
      </w:pPr>
      <w:r>
        <w:rPr>
          <w:rFonts w:ascii="Times New Roman" w:hAnsi="Times New Roman" w:eastAsia="Times New Roman"/>
          <w:b/>
          <w:sz w:val="24"/>
        </w:rPr>
        <w:t>Interpretação integrada</w:t>
      </w:r>
    </w:p>
    <w:p>
      <w:pPr>
        <w:spacing w:line="480" w:lineRule="auto"/>
        <w:ind w:firstLine="720"/>
        <w:jc w:val="both"/>
      </w:pPr>
      <w:r>
        <w:rPr>
          <w:rFonts w:ascii="Times New Roman" w:hAnsi="Times New Roman" w:eastAsia="Times New Roman"/>
          <w:b w:val="0"/>
          <w:sz w:val="24"/>
        </w:rPr>
        <w:t>Três tensões organizam a leitura. A primeira é entre altruísmo declarado e arquitetura da ação. Motivação pró-social é onipresente no autorrelato (Bednall &amp; Bove, 2011; Swanevelder et al., 2019), mas o retorno sobe quando o serviço reduz fricção (acesso, lembrete, plano concreto) (Wevers et al., 2015; Asamoah-Akuoko et al., 2021). Solidariedade sem desenho de implementação permanece intenção.</w:t>
      </w:r>
    </w:p>
    <w:p>
      <w:pPr>
        <w:spacing w:line="480" w:lineRule="auto"/>
        <w:ind w:firstLine="720"/>
        <w:jc w:val="both"/>
      </w:pPr>
      <w:r>
        <w:rPr>
          <w:rFonts w:ascii="Times New Roman" w:hAnsi="Times New Roman" w:eastAsia="Times New Roman"/>
          <w:b w:val="0"/>
          <w:sz w:val="24"/>
        </w:rPr>
        <w:t>A segunda tensão é entre captação e carreira. Métricas de “novos doadores” podem mascarar rotatividade alta (Bagot et al., 2016; Van Dongen, 2015). Doadores frequentes também lapsam (Gemelli et al., 2017), o que exige fila de trabalho específica de manutenção, distinta da campanha de rua.</w:t>
      </w:r>
    </w:p>
    <w:p>
      <w:pPr>
        <w:spacing w:line="480" w:lineRule="auto"/>
        <w:ind w:firstLine="720"/>
        <w:jc w:val="both"/>
      </w:pPr>
      <w:r>
        <w:rPr>
          <w:rFonts w:ascii="Times New Roman" w:hAnsi="Times New Roman" w:eastAsia="Times New Roman"/>
          <w:b w:val="0"/>
          <w:sz w:val="24"/>
        </w:rPr>
        <w:t>A terceira tensão é ética e comunicacional. Em Gana, “créditos de sangue” e a busca de resultados de testes predisseram negativamente a intenção de retorno (Asamoah-Akuoko et al., 2021). No Brasil, percepções de doadores e receptores nem sempre coincidem (Conceição et al., 2016), e medos de contaminação persistem no discurso de quem trabalha na captação (Giacomini &amp; Lunardi Filho, 2010). Transparência sobre o uso do sangue e recusa de contraprestações que mercantilizem o ato não são adornos morais: interferem no retorno.</w:t>
      </w:r>
    </w:p>
    <w:p>
      <w:pPr>
        <w:spacing w:line="480" w:lineRule="auto"/>
        <w:ind w:firstLine="720"/>
        <w:jc w:val="both"/>
      </w:pPr>
      <w:r>
        <w:rPr>
          <w:rFonts w:ascii="Times New Roman" w:hAnsi="Times New Roman" w:eastAsia="Times New Roman"/>
          <w:b w:val="0"/>
          <w:sz w:val="24"/>
        </w:rPr>
        <w:t>Ferguson et al. (2007) e Masser et al. (2009) oferecem a gramática para essas tensões: campanhas devem mirar crenças e controle percebido, não apenas o volume de exposição midiática. Godin et al. (2007) acrescentam que novatos e experientes não respondem aos mesmos preditores, o que condena o panfleto único.</w:t>
      </w:r>
    </w:p>
    <w:p>
      <w:pPr>
        <w:spacing w:line="480" w:lineRule="auto"/>
        <w:jc w:val="left"/>
      </w:pPr>
      <w:r>
        <w:rPr>
          <w:rFonts w:ascii="Times New Roman" w:hAnsi="Times New Roman" w:eastAsia="Times New Roman"/>
          <w:b/>
          <w:sz w:val="24"/>
        </w:rPr>
        <w:t>Implicações para a prática e para a gestão</w:t>
      </w:r>
    </w:p>
    <w:p>
      <w:pPr>
        <w:spacing w:line="480" w:lineRule="auto"/>
        <w:ind w:firstLine="720"/>
        <w:jc w:val="both"/>
      </w:pPr>
      <w:r>
        <w:rPr>
          <w:rFonts w:ascii="Times New Roman" w:hAnsi="Times New Roman" w:eastAsia="Times New Roman"/>
          <w:b w:val="0"/>
          <w:sz w:val="24"/>
        </w:rPr>
        <w:t>Serviços de hemoterapia podem, com base no corpus e sem extrapolação indevida de um país a outro: (a) registrar retorno em 6 e 12 meses como indicador de qualidade, não só unidades coletadas; (b) inserir na alta do novato um plano escrito de quando e onde retornar, nos moldes de intenção de implementação (Wevers et al., 2015); (c) substituir reuniões motivacionais genéricas por contato breve educativo ou emocional (Hashemi et al., 2019); (d) auditar a experiência de serviço na ótica de quem doa (Swanevelder et al., 2019); (e) explicar o destino do sangue com linguagem compreensível (Asamoah-Akuoko et al., 2021; Conceição et al., 2016); (f) criar fila de reconquista para lapsos (Germain et al., 2007); (g) treinar enfermagem para os quatro momentos da Tabela 3 (Giacomini &amp; Lunardi Filho, 2010).</w:t>
      </w:r>
    </w:p>
    <w:p>
      <w:pPr>
        <w:spacing w:line="480" w:lineRule="auto"/>
        <w:ind w:firstLine="720"/>
        <w:jc w:val="both"/>
      </w:pPr>
      <w:r>
        <w:rPr>
          <w:rFonts w:ascii="Times New Roman" w:hAnsi="Times New Roman" w:eastAsia="Times New Roman"/>
          <w:b w:val="0"/>
          <w:sz w:val="24"/>
        </w:rPr>
        <w:t>Nenhuma dessas ações dispensa avaliação local. Prevalências e razões de chances citadas pertencem a contextos (Irã, Países Baixos, África do Sul, Gana, Austrália, Canadá, Brasil) cuja mistura de incentivos, confiança institucional e perfil etário difere da de cada hemocentro brasileiro.</w:t>
      </w:r>
    </w:p>
    <w:p>
      <w:pPr>
        <w:spacing w:line="480" w:lineRule="auto"/>
        <w:jc w:val="left"/>
      </w:pPr>
      <w:r>
        <w:rPr>
          <w:rFonts w:ascii="Times New Roman" w:hAnsi="Times New Roman" w:eastAsia="Times New Roman"/>
          <w:b/>
          <w:sz w:val="24"/>
        </w:rPr>
        <w:t>Limitações</w:t>
      </w:r>
    </w:p>
    <w:p>
      <w:pPr>
        <w:spacing w:line="480" w:lineRule="auto"/>
        <w:ind w:firstLine="720"/>
        <w:jc w:val="both"/>
      </w:pPr>
      <w:r>
        <w:rPr>
          <w:rFonts w:ascii="Times New Roman" w:hAnsi="Times New Roman" w:eastAsia="Times New Roman"/>
          <w:b w:val="0"/>
          <w:sz w:val="24"/>
        </w:rPr>
        <w:t>A revisão é narrativa: não houve busca sistemática em múltiplas bases, dupla seleção independente, avaliação formal de risco de viés nem meta-análise própria. O corpus parte de uma lista inicial de DOIs, o que pode omitir estudos relevantes, especialmente em enfermagem publicada em periódicos não indexados na CrossRef. Números de retorno foram reproduzidos a partir dos relatos das fontes e não reanalisados. A generalização para o Brasil é interpretativa: o inquérito de Pelotas (Zago et al., 2010) e os estudos de (Giacomini &amp; Lunardi Filho, 2010) e de (Conceição et al., 2016) não cobrem a heterogeneidade da rede hemoterápica nacional. A verificação de originalidade deste pacote é heurística local e não substitui relatórios comerciais de similaridade. Não foram usados dados primários de doadores; implementação local com coleta de dados exige projeto próprio e aprovação ética quando couber.</w:t>
      </w:r>
    </w:p>
    <w:p>
      <w:pPr>
        <w:spacing w:line="480" w:lineRule="auto"/>
        <w:jc w:val="left"/>
      </w:pPr>
      <w:r>
        <w:rPr>
          <w:rFonts w:ascii="Times New Roman" w:hAnsi="Times New Roman" w:eastAsia="Times New Roman"/>
          <w:b/>
          <w:sz w:val="24"/>
        </w:rPr>
        <w:t>Objeções e respostas</w:t>
      </w:r>
    </w:p>
    <w:p>
      <w:pPr>
        <w:spacing w:line="480" w:lineRule="auto"/>
        <w:ind w:firstLine="720"/>
        <w:jc w:val="both"/>
      </w:pPr>
      <w:r>
        <w:rPr>
          <w:rFonts w:ascii="Times New Roman" w:hAnsi="Times New Roman" w:eastAsia="Times New Roman"/>
          <w:b w:val="0"/>
          <w:sz w:val="24"/>
        </w:rPr>
        <w:t>Objeção 1: sem meta-análise não se pode afirmar que “intervenções funcionam”. Resposta: H1 é hipótese de síntese, apoiada em convergência de ensaios e coortes nomeados, não em estimativa global de efeito. O ensaio de Hashemi et al. (2019) e o experimento de Wevers et al. (2015) são âncoras empíricas; a revisão de Bagot et al. (2016) impede entusiasmo indiscriminado com incentivos.</w:t>
      </w:r>
    </w:p>
    <w:p>
      <w:pPr>
        <w:spacing w:line="480" w:lineRule="auto"/>
        <w:ind w:firstLine="720"/>
        <w:jc w:val="both"/>
      </w:pPr>
      <w:r>
        <w:rPr>
          <w:rFonts w:ascii="Times New Roman" w:hAnsi="Times New Roman" w:eastAsia="Times New Roman"/>
          <w:b w:val="0"/>
          <w:sz w:val="24"/>
        </w:rPr>
        <w:t>Objeção 2: retenção seria função de marketing, não de enfermagem. Resposta: a taxonomia de barreiras inclui serviço e medo (Bednall &amp; Bove, 2011), o não retorno associa-se a mau atendimento (Swanevelder et al., 2019), e a literatura brasileira de enfermagem já formula fidelização como trabalho educativo e relacional (Giacomini &amp; Lunardi Filho, 2010). Marketing sem o encontro da coleta deixa intocado o mecanismo.</w:t>
      </w:r>
    </w:p>
    <w:p>
      <w:pPr>
        <w:spacing w:line="480" w:lineRule="auto"/>
        <w:ind w:firstLine="720"/>
        <w:jc w:val="both"/>
      </w:pPr>
      <w:r>
        <w:rPr>
          <w:rFonts w:ascii="Times New Roman" w:hAnsi="Times New Roman" w:eastAsia="Times New Roman"/>
          <w:b w:val="0"/>
          <w:sz w:val="24"/>
        </w:rPr>
        <w:t>Objeção 3: enfatizar retorno de novatos negligenciaria doadores frequentes. Resposta: o corpus inclui lapso de atuais e de frequentes (Germain et al., 2007; Gemelli et al., 2017). A janela da primeira doação é crítica por volume de perda, não por exclusividade.</w:t>
      </w:r>
    </w:p>
    <w:p>
      <w:pPr>
        <w:spacing w:line="480" w:lineRule="auto"/>
        <w:ind w:firstLine="720"/>
        <w:jc w:val="both"/>
      </w:pPr>
      <w:r>
        <w:rPr>
          <w:rFonts w:ascii="Times New Roman" w:hAnsi="Times New Roman" w:eastAsia="Times New Roman"/>
          <w:b w:val="0"/>
          <w:sz w:val="24"/>
        </w:rPr>
        <w:t>Objeção 4: modelos da TCP estariam datados. Resposta: mesmo que extensões posteriores existam fora deste corpus, os testes de Masser et al. (2009) e de Godin et al. (2007) continuam a oferecer variáveis manipuláveis (atitude, norma, controle, diferença novato/experiente) que campanhas genéricas ignoram.</w:t>
      </w:r>
    </w:p>
    <w:p>
      <w:pPr>
        <w:spacing w:line="480" w:lineRule="auto"/>
        <w:jc w:val="center"/>
      </w:pPr>
      <w:r>
        <w:rPr>
          <w:rFonts w:ascii="Times New Roman" w:hAnsi="Times New Roman" w:eastAsia="Times New Roman"/>
          <w:b/>
          <w:sz w:val="24"/>
        </w:rPr>
        <w:t>Conclusão</w:t>
      </w:r>
    </w:p>
    <w:p>
      <w:pPr>
        <w:spacing w:line="480" w:lineRule="auto"/>
        <w:ind w:firstLine="720"/>
        <w:jc w:val="both"/>
      </w:pPr>
      <w:r>
        <w:rPr>
          <w:rFonts w:ascii="Times New Roman" w:hAnsi="Times New Roman" w:eastAsia="Times New Roman"/>
          <w:b w:val="0"/>
          <w:sz w:val="24"/>
        </w:rPr>
        <w:t>A evidência reunida indica que o estoque de sangue se sustenta quando a primeira doação se converte em carreira, e que essa conversão é sensível a desenho de intervenção e a qualidade do encontro assistencial. H1 recebe apoio convergente: comunicação estruturada, lembretes e técnicas de planejamento do comportamento associam-se a maior retorno de novatos do que a inação ou o apelo motivacional genérico. H2 recebe apoio conceitual e observacional: enfermagem, educação, transparência e experiência de serviço aparecem como mediadores organizacionais da retenção, não como acessórios da punção.</w:t>
      </w:r>
    </w:p>
    <w:p>
      <w:pPr>
        <w:spacing w:line="480" w:lineRule="auto"/>
        <w:ind w:firstLine="720"/>
        <w:jc w:val="both"/>
      </w:pPr>
      <w:r>
        <w:rPr>
          <w:rFonts w:ascii="Times New Roman" w:hAnsi="Times New Roman" w:eastAsia="Times New Roman"/>
          <w:b w:val="0"/>
          <w:sz w:val="24"/>
        </w:rPr>
        <w:t>Contribuições desta revisão incluem (1) articulação, em um único argumento, de taxonomias motivacionais, modelos sociocognitivos, janela da primeira doação, lapso e literatura brasileira de enfermagem; (2) tradução dos achados em quatro momentos de processo passíveis de auditoria local; e (3) recusa de indicadores que contem apenas unidades coletadas. Pesquisas futuras, com ética adequada, devem testar bundles de enfermagem de retenção em hemocentros brasileiros, com desfechos de retorno real em 6 e 12 meses, estratificação entre novatos e frequentes, e avaliação da experiência de serviço relatada pelo doador.</w:t>
      </w:r>
    </w:p>
    <w:p>
      <w:pPr>
        <w:spacing w:line="480" w:lineRule="auto"/>
        <w:jc w:val="center"/>
      </w:pPr>
      <w:r>
        <w:rPr>
          <w:rFonts w:ascii="Times New Roman" w:hAnsi="Times New Roman" w:eastAsia="Times New Roman"/>
          <w:b/>
          <w:sz w:val="24"/>
        </w:rPr>
        <w:t>Agradecimentos</w:t>
      </w:r>
    </w:p>
    <w:p>
      <w:pPr>
        <w:spacing w:line="480" w:lineRule="auto"/>
        <w:ind w:firstLine="720"/>
        <w:jc w:val="both"/>
      </w:pPr>
      <w:r>
        <w:rPr>
          <w:rFonts w:ascii="Times New Roman" w:hAnsi="Times New Roman" w:eastAsia="Times New Roman"/>
          <w:b w:val="0"/>
          <w:sz w:val="24"/>
        </w:rPr>
        <w:t>O autor agradece às fontes abertas CrossRef/DOI.org pela disponibilização de metadados bibliográficos utilizados na validação das referências.</w:t>
      </w:r>
    </w:p>
    <w:p>
      <w:pPr>
        <w:spacing w:line="480" w:lineRule="auto"/>
        <w:jc w:val="center"/>
      </w:pPr>
      <w:r>
        <w:rPr>
          <w:rFonts w:ascii="Times New Roman" w:hAnsi="Times New Roman" w:eastAsia="Times New Roman"/>
          <w:b/>
          <w:sz w:val="24"/>
        </w:rPr>
        <w:t>Financiamento</w:t>
      </w:r>
    </w:p>
    <w:p>
      <w:pPr>
        <w:spacing w:line="480" w:lineRule="auto"/>
        <w:ind w:firstLine="720"/>
        <w:jc w:val="both"/>
      </w:pPr>
      <w:r>
        <w:rPr>
          <w:rFonts w:ascii="Times New Roman" w:hAnsi="Times New Roman" w:eastAsia="Times New Roman"/>
          <w:b w:val="0"/>
          <w:sz w:val="24"/>
        </w:rPr>
        <w:t>Esta revisão não recebeu financiamento externo específico.</w:t>
      </w:r>
    </w:p>
    <w:p>
      <w:pPr>
        <w:spacing w:line="480" w:lineRule="auto"/>
        <w:jc w:val="center"/>
      </w:pPr>
      <w:r>
        <w:rPr>
          <w:rFonts w:ascii="Times New Roman" w:hAnsi="Times New Roman" w:eastAsia="Times New Roman"/>
          <w:b/>
          <w:sz w:val="24"/>
        </w:rPr>
        <w:t>Conflitos de interesse</w:t>
      </w:r>
    </w:p>
    <w:p>
      <w:pPr>
        <w:spacing w:line="480" w:lineRule="auto"/>
        <w:ind w:firstLine="720"/>
        <w:jc w:val="both"/>
      </w:pPr>
      <w:r>
        <w:rPr>
          <w:rFonts w:ascii="Times New Roman" w:hAnsi="Times New Roman" w:eastAsia="Times New Roman"/>
          <w:b w:val="0"/>
          <w:sz w:val="24"/>
        </w:rPr>
        <w:t>O autor declara não haver conflitos de interesse.</w:t>
      </w:r>
    </w:p>
    <w:p>
      <w:pPr>
        <w:spacing w:line="480" w:lineRule="auto"/>
        <w:jc w:val="center"/>
      </w:pPr>
      <w:r>
        <w:rPr>
          <w:rFonts w:ascii="Times New Roman" w:hAnsi="Times New Roman" w:eastAsia="Times New Roman"/>
          <w:b/>
          <w:sz w:val="24"/>
        </w:rPr>
        <w:t>Referências</w:t>
      </w:r>
    </w:p>
    <w:p>
      <w:pPr>
        <w:spacing w:line="480" w:lineRule="auto"/>
        <w:ind w:left="720" w:hanging="720"/>
        <w:jc w:val="left"/>
      </w:pPr>
      <w:r>
        <w:rPr>
          <w:rFonts w:ascii="Times New Roman" w:hAnsi="Times New Roman" w:eastAsia="Times New Roman"/>
          <w:b w:val="0"/>
          <w:sz w:val="24"/>
        </w:rPr>
        <w:t xml:space="preserve">Asamoah‐Akuoko, L., Ullum, H., Appiah, B., Hassall, O. W., Ndanu, T., Adongo, P., &amp; Bates, I. (2021). Determinants of intention to return to donate blood among first‐time blood donors in Ghana. </w:t>
      </w:r>
      <w:r>
        <w:rPr>
          <w:rFonts w:ascii="Times New Roman" w:hAnsi="Times New Roman" w:eastAsia="Times New Roman"/>
          <w:b w:val="0"/>
          <w:i/>
          <w:sz w:val="24"/>
        </w:rPr>
        <w:t>Vox Sanguinis</w:t>
      </w:r>
      <w:r>
        <w:rPr>
          <w:rFonts w:ascii="Times New Roman" w:hAnsi="Times New Roman" w:eastAsia="Times New Roman"/>
          <w:b w:val="0"/>
          <w:sz w:val="24"/>
        </w:rPr>
        <w:t xml:space="preserve">, </w:t>
      </w:r>
      <w:r>
        <w:rPr>
          <w:rFonts w:ascii="Times New Roman" w:hAnsi="Times New Roman" w:eastAsia="Times New Roman"/>
          <w:b w:val="0"/>
          <w:i/>
          <w:sz w:val="24"/>
        </w:rPr>
        <w:t>116</w:t>
      </w:r>
      <w:r>
        <w:rPr>
          <w:rFonts w:ascii="Times New Roman" w:hAnsi="Times New Roman" w:eastAsia="Times New Roman"/>
          <w:b w:val="0"/>
          <w:sz w:val="24"/>
        </w:rPr>
        <w:t>(3), 324-335. https://doi.org/10.1111/vox.13026</w:t>
      </w:r>
    </w:p>
    <w:p>
      <w:pPr>
        <w:spacing w:line="480" w:lineRule="auto"/>
        <w:ind w:left="720" w:hanging="720"/>
        <w:jc w:val="left"/>
      </w:pPr>
      <w:r>
        <w:rPr>
          <w:rFonts w:ascii="Times New Roman" w:hAnsi="Times New Roman" w:eastAsia="Times New Roman"/>
          <w:b w:val="0"/>
          <w:sz w:val="24"/>
        </w:rPr>
        <w:t xml:space="preserve">Bagot, K. L., Murray, A. L., &amp; Masser, B. M. (2016). How Can We Improve Retention of the First-Time Donor? A Systematic Review of the Current Evidence. </w:t>
      </w:r>
      <w:r>
        <w:rPr>
          <w:rFonts w:ascii="Times New Roman" w:hAnsi="Times New Roman" w:eastAsia="Times New Roman"/>
          <w:b w:val="0"/>
          <w:i/>
          <w:sz w:val="24"/>
        </w:rPr>
        <w:t>Transfusion Medicine Reviews</w:t>
      </w:r>
      <w:r>
        <w:rPr>
          <w:rFonts w:ascii="Times New Roman" w:hAnsi="Times New Roman" w:eastAsia="Times New Roman"/>
          <w:b w:val="0"/>
          <w:sz w:val="24"/>
        </w:rPr>
        <w:t xml:space="preserve">, </w:t>
      </w:r>
      <w:r>
        <w:rPr>
          <w:rFonts w:ascii="Times New Roman" w:hAnsi="Times New Roman" w:eastAsia="Times New Roman"/>
          <w:b w:val="0"/>
          <w:i/>
          <w:sz w:val="24"/>
        </w:rPr>
        <w:t>30</w:t>
      </w:r>
      <w:r>
        <w:rPr>
          <w:rFonts w:ascii="Times New Roman" w:hAnsi="Times New Roman" w:eastAsia="Times New Roman"/>
          <w:b w:val="0"/>
          <w:sz w:val="24"/>
        </w:rPr>
        <w:t>(2), 81-91. https://doi.org/10.1016/j.tmrv.2016.02.002</w:t>
      </w:r>
    </w:p>
    <w:p>
      <w:pPr>
        <w:spacing w:line="480" w:lineRule="auto"/>
        <w:ind w:left="720" w:hanging="720"/>
        <w:jc w:val="left"/>
      </w:pPr>
      <w:r>
        <w:rPr>
          <w:rFonts w:ascii="Times New Roman" w:hAnsi="Times New Roman" w:eastAsia="Times New Roman"/>
          <w:b w:val="0"/>
          <w:sz w:val="24"/>
        </w:rPr>
        <w:t xml:space="preserve">Bednall, T. C., &amp; Bove, L. L. (2011). Donating Blood: A Meta-Analytic Review of Self-Reported Motivators and Deterrents. </w:t>
      </w:r>
      <w:r>
        <w:rPr>
          <w:rFonts w:ascii="Times New Roman" w:hAnsi="Times New Roman" w:eastAsia="Times New Roman"/>
          <w:b w:val="0"/>
          <w:i/>
          <w:sz w:val="24"/>
        </w:rPr>
        <w:t>Transfusion Medicine Reviews</w:t>
      </w:r>
      <w:r>
        <w:rPr>
          <w:rFonts w:ascii="Times New Roman" w:hAnsi="Times New Roman" w:eastAsia="Times New Roman"/>
          <w:b w:val="0"/>
          <w:sz w:val="24"/>
        </w:rPr>
        <w:t xml:space="preserve">, </w:t>
      </w:r>
      <w:r>
        <w:rPr>
          <w:rFonts w:ascii="Times New Roman" w:hAnsi="Times New Roman" w:eastAsia="Times New Roman"/>
          <w:b w:val="0"/>
          <w:i/>
          <w:sz w:val="24"/>
        </w:rPr>
        <w:t>25</w:t>
      </w:r>
      <w:r>
        <w:rPr>
          <w:rFonts w:ascii="Times New Roman" w:hAnsi="Times New Roman" w:eastAsia="Times New Roman"/>
          <w:b w:val="0"/>
          <w:sz w:val="24"/>
        </w:rPr>
        <w:t>(4), 317-334. https://doi.org/10.1016/j.tmrv.2011.04.005</w:t>
      </w:r>
    </w:p>
    <w:p>
      <w:pPr>
        <w:spacing w:line="480" w:lineRule="auto"/>
        <w:ind w:left="720" w:hanging="720"/>
        <w:jc w:val="left"/>
      </w:pPr>
      <w:r>
        <w:rPr>
          <w:rFonts w:ascii="Times New Roman" w:hAnsi="Times New Roman" w:eastAsia="Times New Roman"/>
          <w:b w:val="0"/>
          <w:sz w:val="24"/>
        </w:rPr>
        <w:t xml:space="preserve">Bednall, T. C., Bove, L. L., Cheetham, A., &amp; Murray, A. L. (2013). A systematic review and meta-analysis of antecedents of blood donation behavior and intentions. </w:t>
      </w:r>
      <w:r>
        <w:rPr>
          <w:rFonts w:ascii="Times New Roman" w:hAnsi="Times New Roman" w:eastAsia="Times New Roman"/>
          <w:b w:val="0"/>
          <w:i/>
          <w:sz w:val="24"/>
        </w:rPr>
        <w:t>Social Science &amp; Medicine</w:t>
      </w:r>
      <w:r>
        <w:rPr>
          <w:rFonts w:ascii="Times New Roman" w:hAnsi="Times New Roman" w:eastAsia="Times New Roman"/>
          <w:b w:val="0"/>
          <w:sz w:val="24"/>
        </w:rPr>
        <w:t xml:space="preserve">, </w:t>
      </w:r>
      <w:r>
        <w:rPr>
          <w:rFonts w:ascii="Times New Roman" w:hAnsi="Times New Roman" w:eastAsia="Times New Roman"/>
          <w:b w:val="0"/>
          <w:i/>
          <w:sz w:val="24"/>
        </w:rPr>
        <w:t>96</w:t>
      </w:r>
      <w:r>
        <w:rPr>
          <w:rFonts w:ascii="Times New Roman" w:hAnsi="Times New Roman" w:eastAsia="Times New Roman"/>
          <w:b w:val="0"/>
          <w:sz w:val="24"/>
        </w:rPr>
        <w:t>, 86-94. https://doi.org/10.1016/j.socscimed.2013.07.022</w:t>
      </w:r>
    </w:p>
    <w:p>
      <w:pPr>
        <w:spacing w:line="480" w:lineRule="auto"/>
        <w:ind w:left="720" w:hanging="720"/>
        <w:jc w:val="left"/>
      </w:pPr>
      <w:r>
        <w:rPr>
          <w:rFonts w:ascii="Times New Roman" w:hAnsi="Times New Roman" w:eastAsia="Times New Roman"/>
          <w:b w:val="0"/>
          <w:sz w:val="24"/>
        </w:rPr>
        <w:t xml:space="preserve">Conceição, V. M. D., Araújo, J. S., Oliveira, R. A. A. D., Santana, M. E. D., &amp; Zago, M. M. F. (2016). Perceptions of donors and recipients regarding blood donation. </w:t>
      </w:r>
      <w:r>
        <w:rPr>
          <w:rFonts w:ascii="Times New Roman" w:hAnsi="Times New Roman" w:eastAsia="Times New Roman"/>
          <w:b w:val="0"/>
          <w:i/>
          <w:sz w:val="24"/>
        </w:rPr>
        <w:t>Revista Brasileira de Hematologia e Hemoterapia</w:t>
      </w:r>
      <w:r>
        <w:rPr>
          <w:rFonts w:ascii="Times New Roman" w:hAnsi="Times New Roman" w:eastAsia="Times New Roman"/>
          <w:b w:val="0"/>
          <w:sz w:val="24"/>
        </w:rPr>
        <w:t xml:space="preserve">, </w:t>
      </w:r>
      <w:r>
        <w:rPr>
          <w:rFonts w:ascii="Times New Roman" w:hAnsi="Times New Roman" w:eastAsia="Times New Roman"/>
          <w:b w:val="0"/>
          <w:i/>
          <w:sz w:val="24"/>
        </w:rPr>
        <w:t>38</w:t>
      </w:r>
      <w:r>
        <w:rPr>
          <w:rFonts w:ascii="Times New Roman" w:hAnsi="Times New Roman" w:eastAsia="Times New Roman"/>
          <w:b w:val="0"/>
          <w:sz w:val="24"/>
        </w:rPr>
        <w:t>(3), 220-224. https://doi.org/10.1016/j.bjhh.2016.05.006</w:t>
      </w:r>
    </w:p>
    <w:p>
      <w:pPr>
        <w:spacing w:line="480" w:lineRule="auto"/>
        <w:ind w:left="720" w:hanging="720"/>
        <w:jc w:val="left"/>
      </w:pPr>
      <w:r>
        <w:rPr>
          <w:rFonts w:ascii="Times New Roman" w:hAnsi="Times New Roman" w:eastAsia="Times New Roman"/>
          <w:b w:val="0"/>
          <w:sz w:val="24"/>
        </w:rPr>
        <w:t xml:space="preserve">Ferguson, E., France, C. R., Abraham, C., Ditto, B., &amp; Sheeran, P. (2007). Improving blood donor recruitment and retention: integrating theoretical advances from social and behavioral science research agendas.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47</w:t>
      </w:r>
      <w:r>
        <w:rPr>
          <w:rFonts w:ascii="Times New Roman" w:hAnsi="Times New Roman" w:eastAsia="Times New Roman"/>
          <w:b w:val="0"/>
          <w:sz w:val="24"/>
        </w:rPr>
        <w:t>(11), 1999-2010. https://doi.org/10.1111/j.1537-2995.2007.01423.x</w:t>
      </w:r>
    </w:p>
    <w:p>
      <w:pPr>
        <w:spacing w:line="480" w:lineRule="auto"/>
        <w:ind w:left="720" w:hanging="720"/>
        <w:jc w:val="left"/>
      </w:pPr>
      <w:r>
        <w:rPr>
          <w:rFonts w:ascii="Times New Roman" w:hAnsi="Times New Roman" w:eastAsia="Times New Roman"/>
          <w:b w:val="0"/>
          <w:sz w:val="24"/>
        </w:rPr>
        <w:t xml:space="preserve">Gemelli, C. N., Hayman, J., &amp; Waller, D. (2017). Frequent whole blood donors: understanding this population and predictors of lapse.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57</w:t>
      </w:r>
      <w:r>
        <w:rPr>
          <w:rFonts w:ascii="Times New Roman" w:hAnsi="Times New Roman" w:eastAsia="Times New Roman"/>
          <w:b w:val="0"/>
          <w:sz w:val="24"/>
        </w:rPr>
        <w:t>(1), 108-114. https://doi.org/10.1111/trf.13874</w:t>
      </w:r>
    </w:p>
    <w:p>
      <w:pPr>
        <w:spacing w:line="480" w:lineRule="auto"/>
        <w:ind w:left="720" w:hanging="720"/>
        <w:jc w:val="left"/>
      </w:pPr>
      <w:r>
        <w:rPr>
          <w:rFonts w:ascii="Times New Roman" w:hAnsi="Times New Roman" w:eastAsia="Times New Roman"/>
          <w:b w:val="0"/>
          <w:sz w:val="24"/>
        </w:rPr>
        <w:t xml:space="preserve">Germain, M., Glynn, S. A., Schreiber, G. B., Gélinas, S., King, M., Jones, M., Bethel, J., &amp; Tu, Y. (2007). Determinants of return behavior: a comparison of current and lapsed donors.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47</w:t>
      </w:r>
      <w:r>
        <w:rPr>
          <w:rFonts w:ascii="Times New Roman" w:hAnsi="Times New Roman" w:eastAsia="Times New Roman"/>
          <w:b w:val="0"/>
          <w:sz w:val="24"/>
        </w:rPr>
        <w:t>(10), 1862-1870. https://doi.org/10.1111/j.1537-2995.2007.01409.x</w:t>
      </w:r>
    </w:p>
    <w:p>
      <w:pPr>
        <w:spacing w:line="480" w:lineRule="auto"/>
        <w:ind w:left="720" w:hanging="720"/>
        <w:jc w:val="left"/>
      </w:pPr>
      <w:r>
        <w:rPr>
          <w:rFonts w:ascii="Times New Roman" w:hAnsi="Times New Roman" w:eastAsia="Times New Roman"/>
          <w:b w:val="0"/>
          <w:sz w:val="24"/>
        </w:rPr>
        <w:t xml:space="preserve">Giacomini, L., &amp; Lunardi Filho, W. D. (2010). Estratégias para fidelização de doadores de sangue voluntários e habituais. </w:t>
      </w:r>
      <w:r>
        <w:rPr>
          <w:rFonts w:ascii="Times New Roman" w:hAnsi="Times New Roman" w:eastAsia="Times New Roman"/>
          <w:b w:val="0"/>
          <w:i/>
          <w:sz w:val="24"/>
        </w:rPr>
        <w:t>Acta Paulista de Enfermagem</w:t>
      </w:r>
      <w:r>
        <w:rPr>
          <w:rFonts w:ascii="Times New Roman" w:hAnsi="Times New Roman" w:eastAsia="Times New Roman"/>
          <w:b w:val="0"/>
          <w:sz w:val="24"/>
        </w:rPr>
        <w:t xml:space="preserve">, </w:t>
      </w:r>
      <w:r>
        <w:rPr>
          <w:rFonts w:ascii="Times New Roman" w:hAnsi="Times New Roman" w:eastAsia="Times New Roman"/>
          <w:b w:val="0"/>
          <w:i/>
          <w:sz w:val="24"/>
        </w:rPr>
        <w:t>23</w:t>
      </w:r>
      <w:r>
        <w:rPr>
          <w:rFonts w:ascii="Times New Roman" w:hAnsi="Times New Roman" w:eastAsia="Times New Roman"/>
          <w:b w:val="0"/>
          <w:sz w:val="24"/>
        </w:rPr>
        <w:t>(1), 65-72. https://doi.org/10.1590/s0103-21002010000100011</w:t>
      </w:r>
    </w:p>
    <w:p>
      <w:pPr>
        <w:spacing w:line="480" w:lineRule="auto"/>
        <w:ind w:left="720" w:hanging="720"/>
        <w:jc w:val="left"/>
      </w:pPr>
      <w:r>
        <w:rPr>
          <w:rFonts w:ascii="Times New Roman" w:hAnsi="Times New Roman" w:eastAsia="Times New Roman"/>
          <w:b w:val="0"/>
          <w:sz w:val="24"/>
        </w:rPr>
        <w:t xml:space="preserve">Godin, G., Conner, M., Sheeran, P., Bélanger‐Gravel, A., &amp; Germain, M. (2007). Determinants of repeated blood donation among new and experienced blood donors.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47</w:t>
      </w:r>
      <w:r>
        <w:rPr>
          <w:rFonts w:ascii="Times New Roman" w:hAnsi="Times New Roman" w:eastAsia="Times New Roman"/>
          <w:b w:val="0"/>
          <w:sz w:val="24"/>
        </w:rPr>
        <w:t>(9), 1607-1615. https://doi.org/10.1111/j.1537-2995.2007.01331.x</w:t>
      </w:r>
    </w:p>
    <w:p>
      <w:pPr>
        <w:spacing w:line="480" w:lineRule="auto"/>
        <w:ind w:left="720" w:hanging="720"/>
        <w:jc w:val="left"/>
      </w:pPr>
      <w:r>
        <w:rPr>
          <w:rFonts w:ascii="Times New Roman" w:hAnsi="Times New Roman" w:eastAsia="Times New Roman"/>
          <w:b w:val="0"/>
          <w:sz w:val="24"/>
        </w:rPr>
        <w:t xml:space="preserve">Hashemi, S., Maghsudlu, M., Nasizadeh, S., Esmaielifar, G., &amp; Pourfathollah, A. A. (2019). Effective ways to retain first‐time blood donors: a field‐trial study.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59</w:t>
      </w:r>
      <w:r>
        <w:rPr>
          <w:rFonts w:ascii="Times New Roman" w:hAnsi="Times New Roman" w:eastAsia="Times New Roman"/>
          <w:b w:val="0"/>
          <w:sz w:val="24"/>
        </w:rPr>
        <w:t>(9), 2893-2898. https://doi.org/10.1111/trf.15404</w:t>
      </w:r>
    </w:p>
    <w:p>
      <w:pPr>
        <w:spacing w:line="480" w:lineRule="auto"/>
        <w:ind w:left="720" w:hanging="720"/>
        <w:jc w:val="left"/>
      </w:pPr>
      <w:r>
        <w:rPr>
          <w:rFonts w:ascii="Times New Roman" w:hAnsi="Times New Roman" w:eastAsia="Times New Roman"/>
          <w:b w:val="0"/>
          <w:sz w:val="24"/>
        </w:rPr>
        <w:t xml:space="preserve">Masser, B. M., White, K. M., Hyde, M. K., Terry, D. J., &amp; Robinson, N. G. (2009). Predicting blood donation intentions and behavior among Australian blood donors: testing an extended theory of planned behavior model.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49</w:t>
      </w:r>
      <w:r>
        <w:rPr>
          <w:rFonts w:ascii="Times New Roman" w:hAnsi="Times New Roman" w:eastAsia="Times New Roman"/>
          <w:b w:val="0"/>
          <w:sz w:val="24"/>
        </w:rPr>
        <w:t>(2), 320-329. https://doi.org/10.1111/j.1537-2995.2008.01981.x</w:t>
      </w:r>
    </w:p>
    <w:p>
      <w:pPr>
        <w:spacing w:line="480" w:lineRule="auto"/>
        <w:ind w:left="720" w:hanging="720"/>
        <w:jc w:val="left"/>
      </w:pPr>
      <w:r>
        <w:rPr>
          <w:rFonts w:ascii="Times New Roman" w:hAnsi="Times New Roman" w:eastAsia="Times New Roman"/>
          <w:b w:val="0"/>
          <w:sz w:val="24"/>
        </w:rPr>
        <w:t xml:space="preserve">Swanevelder, R., Reddy, R., Chowdhury, D., Olmsted, M., Brambilla, D., Jentsch, U., &amp; Murphy, E. L. (2019). Using a motivator and deterrent questionnaire to predict actual donation return behavior among first‐time African‐origin blood donors.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59</w:t>
      </w:r>
      <w:r>
        <w:rPr>
          <w:rFonts w:ascii="Times New Roman" w:hAnsi="Times New Roman" w:eastAsia="Times New Roman"/>
          <w:b w:val="0"/>
          <w:sz w:val="24"/>
        </w:rPr>
        <w:t>(9), 2885-2892. https://doi.org/10.1111/trf.15436</w:t>
      </w:r>
    </w:p>
    <w:p>
      <w:pPr>
        <w:spacing w:line="480" w:lineRule="auto"/>
        <w:ind w:left="720" w:hanging="720"/>
        <w:jc w:val="left"/>
      </w:pPr>
      <w:r>
        <w:rPr>
          <w:rFonts w:ascii="Times New Roman" w:hAnsi="Times New Roman" w:eastAsia="Times New Roman"/>
          <w:b w:val="0"/>
          <w:sz w:val="24"/>
        </w:rPr>
        <w:t xml:space="preserve">van Dongen, A., Abraham, C., Ruiter, R. A., &amp; Veldhuizen, I. J. (2013). The influence of adverse reactions, subjective distress, and anxiety on retention of first‐time blood donors.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53</w:t>
      </w:r>
      <w:r>
        <w:rPr>
          <w:rFonts w:ascii="Times New Roman" w:hAnsi="Times New Roman" w:eastAsia="Times New Roman"/>
          <w:b w:val="0"/>
          <w:sz w:val="24"/>
        </w:rPr>
        <w:t>(2), 337-343. https://doi.org/10.1111/j.1537-2995.2012.03810.x</w:t>
      </w:r>
    </w:p>
    <w:p>
      <w:pPr>
        <w:spacing w:line="480" w:lineRule="auto"/>
        <w:ind w:left="720" w:hanging="720"/>
        <w:jc w:val="left"/>
      </w:pPr>
      <w:r>
        <w:rPr>
          <w:rFonts w:ascii="Times New Roman" w:hAnsi="Times New Roman" w:eastAsia="Times New Roman"/>
          <w:b w:val="0"/>
          <w:sz w:val="24"/>
        </w:rPr>
        <w:t xml:space="preserve">van Dongen, A. (2015). Easy come, easy go. Retention of blood donors. </w:t>
      </w:r>
      <w:r>
        <w:rPr>
          <w:rFonts w:ascii="Times New Roman" w:hAnsi="Times New Roman" w:eastAsia="Times New Roman"/>
          <w:b w:val="0"/>
          <w:i/>
          <w:sz w:val="24"/>
        </w:rPr>
        <w:t>Transfusion Medicine</w:t>
      </w:r>
      <w:r>
        <w:rPr>
          <w:rFonts w:ascii="Times New Roman" w:hAnsi="Times New Roman" w:eastAsia="Times New Roman"/>
          <w:b w:val="0"/>
          <w:sz w:val="24"/>
        </w:rPr>
        <w:t xml:space="preserve">, </w:t>
      </w:r>
      <w:r>
        <w:rPr>
          <w:rFonts w:ascii="Times New Roman" w:hAnsi="Times New Roman" w:eastAsia="Times New Roman"/>
          <w:b w:val="0"/>
          <w:i/>
          <w:sz w:val="24"/>
        </w:rPr>
        <w:t>25</w:t>
      </w:r>
      <w:r>
        <w:rPr>
          <w:rFonts w:ascii="Times New Roman" w:hAnsi="Times New Roman" w:eastAsia="Times New Roman"/>
          <w:b w:val="0"/>
          <w:sz w:val="24"/>
        </w:rPr>
        <w:t>(4), 227-233. https://doi.org/10.1111/tme.12249</w:t>
      </w:r>
    </w:p>
    <w:p>
      <w:pPr>
        <w:spacing w:line="480" w:lineRule="auto"/>
        <w:ind w:left="720" w:hanging="720"/>
        <w:jc w:val="left"/>
      </w:pPr>
      <w:r>
        <w:rPr>
          <w:rFonts w:ascii="Times New Roman" w:hAnsi="Times New Roman" w:eastAsia="Times New Roman"/>
          <w:b w:val="0"/>
          <w:sz w:val="24"/>
        </w:rPr>
        <w:t xml:space="preserve">Wevers, A., Wigboldus, D. H. J., van den Hurk, K., van Baaren, R., &amp; Veldhuizen, I. J. T. (2015). Increasing first‐time blood donation of newly registered donors using implementation intentions and explicit commitment techniques. </w:t>
      </w:r>
      <w:r>
        <w:rPr>
          <w:rFonts w:ascii="Times New Roman" w:hAnsi="Times New Roman" w:eastAsia="Times New Roman"/>
          <w:b w:val="0"/>
          <w:i/>
          <w:sz w:val="24"/>
        </w:rPr>
        <w:t>Vox Sanguinis</w:t>
      </w:r>
      <w:r>
        <w:rPr>
          <w:rFonts w:ascii="Times New Roman" w:hAnsi="Times New Roman" w:eastAsia="Times New Roman"/>
          <w:b w:val="0"/>
          <w:sz w:val="24"/>
        </w:rPr>
        <w:t xml:space="preserve">, </w:t>
      </w:r>
      <w:r>
        <w:rPr>
          <w:rFonts w:ascii="Times New Roman" w:hAnsi="Times New Roman" w:eastAsia="Times New Roman"/>
          <w:b w:val="0"/>
          <w:i/>
          <w:sz w:val="24"/>
        </w:rPr>
        <w:t>108</w:t>
      </w:r>
      <w:r>
        <w:rPr>
          <w:rFonts w:ascii="Times New Roman" w:hAnsi="Times New Roman" w:eastAsia="Times New Roman"/>
          <w:b w:val="0"/>
          <w:sz w:val="24"/>
        </w:rPr>
        <w:t>(1), 18-26. https://doi.org/10.1111/vox.12189</w:t>
      </w:r>
    </w:p>
    <w:p>
      <w:pPr>
        <w:spacing w:line="480" w:lineRule="auto"/>
        <w:ind w:left="720" w:hanging="720"/>
        <w:jc w:val="left"/>
      </w:pPr>
      <w:r>
        <w:rPr>
          <w:rFonts w:ascii="Times New Roman" w:hAnsi="Times New Roman" w:eastAsia="Times New Roman"/>
          <w:b w:val="0"/>
          <w:sz w:val="24"/>
        </w:rPr>
        <w:t xml:space="preserve">Zago, A., Silveira, M. F. D., &amp; Dumith, S. C. (2010). Prevalência de doação de sangue e fatores associados, Pelotas, RS. </w:t>
      </w:r>
      <w:r>
        <w:rPr>
          <w:rFonts w:ascii="Times New Roman" w:hAnsi="Times New Roman" w:eastAsia="Times New Roman"/>
          <w:b w:val="0"/>
          <w:i/>
          <w:sz w:val="24"/>
        </w:rPr>
        <w:t>Revista de Saúde Pública</w:t>
      </w:r>
      <w:r>
        <w:rPr>
          <w:rFonts w:ascii="Times New Roman" w:hAnsi="Times New Roman" w:eastAsia="Times New Roman"/>
          <w:b w:val="0"/>
          <w:sz w:val="24"/>
        </w:rPr>
        <w:t xml:space="preserve">, </w:t>
      </w:r>
      <w:r>
        <w:rPr>
          <w:rFonts w:ascii="Times New Roman" w:hAnsi="Times New Roman" w:eastAsia="Times New Roman"/>
          <w:b w:val="0"/>
          <w:i/>
          <w:sz w:val="24"/>
        </w:rPr>
        <w:t>44</w:t>
      </w:r>
      <w:r>
        <w:rPr>
          <w:rFonts w:ascii="Times New Roman" w:hAnsi="Times New Roman" w:eastAsia="Times New Roman"/>
          <w:b w:val="0"/>
          <w:sz w:val="24"/>
        </w:rPr>
        <w:t>(1), 112-120. https://doi.org/10.1590/s0034-89102010000100012</w:t>
      </w:r>
    </w:p>
    <w:p>
      <w:pPr>
        <w:spacing w:line="480" w:lineRule="auto"/>
        <w:jc w:val="center"/>
      </w:pPr>
      <w:r>
        <w:rPr>
          <w:rFonts w:ascii="Times New Roman" w:hAnsi="Times New Roman" w:eastAsia="Times New Roman"/>
          <w:b/>
          <w:sz w:val="24"/>
        </w:rPr>
        <w:t>Apêndice A</w:t>
      </w:r>
    </w:p>
    <w:p>
      <w:pPr>
        <w:spacing w:line="480" w:lineRule="auto"/>
        <w:jc w:val="left"/>
      </w:pPr>
      <w:r>
        <w:rPr>
          <w:rFonts w:ascii="Times New Roman" w:hAnsi="Times New Roman" w:eastAsia="Times New Roman"/>
          <w:b/>
          <w:sz w:val="24"/>
        </w:rPr>
        <w:t>Declarações para submissão</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Originalidade:</w:t>
      </w:r>
      <w:r>
        <w:rPr>
          <w:rFonts w:ascii="Times New Roman" w:hAnsi="Times New Roman" w:eastAsia="Times New Roman"/>
          <w:b w:val="0"/>
          <w:sz w:val="24"/>
        </w:rPr>
        <w:t xml:space="preserve"> O manuscrito é original, não foi publicado e não está sob avaliação simultânea em outro periódico. Não reproduz o artigo de demonstração do pipeline (agosto de 2026) sobre reações adversas na doação, nem manuscritos prévios do autor sobre outros temas.</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Ética:</w:t>
      </w:r>
      <w:r>
        <w:rPr>
          <w:rFonts w:ascii="Times New Roman" w:hAnsi="Times New Roman" w:eastAsia="Times New Roman"/>
          <w:b w:val="0"/>
          <w:sz w:val="24"/>
        </w:rPr>
        <w:t xml:space="preserve"> Trata-se de revisão narrativa de literatura publicada. Não houve coleta de dados primários com participantes humanos ou animais; portanto, não se aplica aprovação por comitê de ética em pesquisa.</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Disponibilidade de dados:</w:t>
      </w:r>
      <w:r>
        <w:rPr>
          <w:rFonts w:ascii="Times New Roman" w:hAnsi="Times New Roman" w:eastAsia="Times New Roman"/>
          <w:b w:val="0"/>
          <w:sz w:val="24"/>
        </w:rPr>
        <w:t xml:space="preserve"> Não se aplica (revisão narrativa sem dados primários).</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Contribuições CRediT:</w:t>
      </w:r>
      <w:r>
        <w:rPr>
          <w:rFonts w:ascii="Times New Roman" w:hAnsi="Times New Roman" w:eastAsia="Times New Roman"/>
          <w:b w:val="0"/>
          <w:sz w:val="24"/>
        </w:rPr>
        <w:t xml:space="preserve"> Conceitualização, metodologia, investigação, redação — rascunho original e revisão: Antonio Augusto Dornelas de Andrade.</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ORCID:</w:t>
      </w:r>
      <w:r>
        <w:rPr>
          <w:rFonts w:ascii="Times New Roman" w:hAnsi="Times New Roman" w:eastAsia="Times New Roman"/>
          <w:b w:val="0"/>
          <w:sz w:val="24"/>
        </w:rPr>
        <w:t xml:space="preserve"> https://orcid.org/0009-0001-3556-483X</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Revista-alvo sugerida:</w:t>
      </w:r>
      <w:r>
        <w:rPr>
          <w:rFonts w:ascii="Times New Roman" w:hAnsi="Times New Roman" w:eastAsia="Times New Roman"/>
          <w:b w:val="0"/>
          <w:sz w:val="24"/>
        </w:rPr>
        <w:t xml:space="preserve"> Transfusion Medicine.</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Data de geração do pacote:</w:t>
      </w:r>
      <w:r>
        <w:rPr>
          <w:rFonts w:ascii="Times New Roman" w:hAnsi="Times New Roman" w:eastAsia="Times New Roman"/>
          <w:b w:val="0"/>
          <w:sz w:val="24"/>
        </w:rPr>
        <w:t xml:space="preserve"> 2026-09-01.</w:t>
      </w:r>
    </w:p>
    <w:p>
      <w:pPr>
        <w:spacing w:line="480" w:lineRule="auto"/>
        <w:jc w:val="center"/>
      </w:pPr>
      <w:r>
        <w:rPr>
          <w:rFonts w:ascii="Times New Roman" w:hAnsi="Times New Roman" w:eastAsia="Times New Roman"/>
          <w:b/>
          <w:sz w:val="24"/>
        </w:rPr>
        <w:t>Apêndice B</w:t>
      </w:r>
    </w:p>
    <w:p>
      <w:pPr>
        <w:spacing w:line="480" w:lineRule="auto"/>
        <w:jc w:val="left"/>
      </w:pPr>
      <w:r>
        <w:rPr>
          <w:rFonts w:ascii="Times New Roman" w:hAnsi="Times New Roman" w:eastAsia="Times New Roman"/>
          <w:b/>
          <w:sz w:val="24"/>
        </w:rPr>
        <w:t>Materiais suplementares do pipeline</w:t>
      </w:r>
    </w:p>
    <w:p>
      <w:pPr>
        <w:spacing w:line="480" w:lineRule="auto"/>
        <w:ind w:firstLine="720"/>
        <w:jc w:val="both"/>
      </w:pPr>
      <w:r>
        <w:rPr>
          <w:rFonts w:ascii="Times New Roman" w:hAnsi="Times New Roman" w:eastAsia="Times New Roman"/>
          <w:b w:val="0"/>
          <w:sz w:val="24"/>
        </w:rPr>
        <w:t>Arquivos auxiliares gerados nesta execução: `references.bib`, `references.ris`, `verification_report.json`, `revision_log.json`, `cover_letter.md`.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Motivação, retenção e fidelização de doadores de sangue: implicações para a enfermagem em serviços de hemoterapia</dc:title>
  <dc:subject/>
  <dc:creator>Antonio Augusto Dornelas de Andrade</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