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left"/>
      </w:pPr>
      <w:r>
        <w:t>AI Fingerprint Self-Check for Project Code</w:t>
      </w:r>
    </w:p>
    <w:p>
      <w:pPr>
        <w:spacing w:after="160" w:line="259" w:lineRule="auto"/>
      </w:pPr>
      <w:r>
        <w:t>Before submitting project work, use the CodeProbe Project Kit to review the source code you personally authored for the assignment. Follow the local-server instructions for your operating system and inspect the report rather than treating the score as a judgement.</w:t>
      </w:r>
    </w:p>
    <w:p>
      <w:pPr>
        <w:spacing w:after="160" w:line="259" w:lineRule="auto"/>
      </w:pPr>
      <w:r>
        <w:t>The bundled 60% review trigger is provisional. An applicable score at or above the active trigger prompts inspection and explanation; it does not prove AI use or misconduct. A compatible course-local calibration profile can replace both the trigger and the display bands. Read the active policy in the report. Under the bundled policy, 50% has the elevated reading without reaching the trigger, while exactly 60% reaches it.</w:t>
      </w:r>
    </w:p>
    <w:p>
      <w:pPr>
        <w:spacing w:after="160" w:line="259" w:lineRule="auto"/>
      </w:pPr>
      <w:r>
        <w:t>The aim is not to minimise a number. Review the relevant code, tests and context, then revise only where you identify a defensible issue. Do not alter working code or exclude assessed files merely to obtain a lower score. Provide an AI-use disclosure when the course policy requires it, independently of the numerical result.</w:t>
      </w:r>
    </w:p>
    <w:p>
      <w:pPr>
        <w:spacing w:after="160" w:line="259" w:lineRule="auto"/>
      </w:pPr>
      <w:r>
        <w:t>Analyse only the assessed source files you authored. Exclude starter code, third-party libraries, generated files, minified assets and build output. Documentation is not part of the code aggregate. In project mode, check the included and excluded inventories before interpreting the aggregate. A non-applicable result means that a numeric interpretation is unavailable, not that independent authorship has been established.</w:t>
      </w:r>
    </w:p>
    <w:p>
      <w:pPr>
        <w:spacing w:after="160" w:line="259" w:lineRule="auto"/>
      </w:pPr>
      <w:r>
        <w:t>Use only the generated file or project calibration profile supplied for the relevant task. The shipped example and profile template are non-operational illustrations. A technically replayable profile is not, by itself, approval for use in a course.</w:t>
      </w:r>
    </w:p>
    <w:p>
      <w:pPr>
        <w:spacing w:after="160" w:line="259" w:lineRule="auto"/>
      </w:pPr>
      <w:r>
        <w:t>This is a formative self-check. You must still explain your design decisions, edge cases, tests and any AI assistance. Keep normal development evidence and discuss uncertainties with your instructor; no score replaces that explanation.</w:t>
      </w:r>
    </w:p>
    <w:p>
      <w:pPr>
        <w:spacing w:after="160" w:line="259" w:lineRule="auto"/>
      </w:pPr>
      <w:r>
        <w:t>The kit may also support discussion of a code snippet in a bachelor thesis, subject to its applicability and parser limits. A short or incomplete snippet does not gain a reliable numerical interpretation merely because the tool can display it.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CodeProbe Project Kit — formative local self-check; review trigger, not verdict.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Aptos" w:hAnsi="Aptos" w:eastAsia="Aptos"/>
      <w:sz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python-docx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Fingerprint Self-Check for Project Code</dc:title>
  <dc:subject>Formative local source-code review</dc:subject>
  <dc:creator>Antonio Clim</dc:creator>
  <cp:keywords/>
  <dc:description>Student announcement aligned with educator/02-student-announcement.md; formative source-code review.</dc:description>
  <cp:category/>
</cp:coreProperties>
</file>