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Seminarul 5 — CSS Selectors &amp; Layout</w:t>
        <w:br/>
        <w:t>Partea 1: Teorie (extins)</w:t>
      </w:r>
    </w:p>
    <w:p>
      <w:r>
        <w:rPr>
          <w:b/>
          <w:sz w:val="26"/>
        </w:rPr>
        <w:t>Hook realist: "Hub-ul Asociațiilor Studențești" în 15 minute, fără framework-uri</w:t>
      </w:r>
    </w:p>
    <w:p>
      <w:r>
        <w:t xml:space="preserve">Imaginați-vă că, la ora 08:30, primiți un mesaj de la coordonatorul asociațiilor studențești: </w:t>
        <w:br/>
        <w:t xml:space="preserve">„La 10:00 avem un stand deschis pentru noii studenți; pune, te rog, online o pagină simplă cu </w:t>
        <w:br/>
        <w:t xml:space="preserve">carduri pentru cluburi, un formular de înscriere și un layout 3×3 care să arate bine pe orice ecran.” </w:t>
        <w:br/>
        <w:t xml:space="preserve">Nu aveți voie să folosiți framework‑uri CSS (Bootstrap/Tailwind). Aveți doar **CSS selectors** bine alese, </w:t>
        <w:br/>
        <w:t>pseudo‑clase moderne (de ex. `:focus-visible`, `:has()`), **form styling** accesibil și un **grid 3×3**</w:t>
        <w:br/>
        <w:t xml:space="preserve">care colapsează elegant pe mobil. În 90 de minute, veți livra o pagină curată, lizibilă și predictibilă. </w:t>
        <w:br/>
        <w:t xml:space="preserve">Acesta este exercițiul mental al seminarului: să formăm un mod de gândire orientat pe **selectors**, </w:t>
        <w:br/>
        <w:t>**stări** și **pattern‑uri** de layout — astfel încât nevoile reale să devină simple compoziții CSS.</w:t>
      </w:r>
    </w:p>
    <w:p>
      <w:r>
        <w:rPr>
          <w:b/>
          <w:sz w:val="26"/>
        </w:rPr>
        <w:t>1. Cascadă, Specificitate, Moștenire: modelul mental al CSS</w:t>
      </w:r>
    </w:p>
    <w:p>
      <w:r>
        <w:t xml:space="preserve">CSS este un limbaj de **rezolvare a conflictelor**: mai multe reguli pot viza același element, iar </w:t>
        <w:br/>
        <w:t xml:space="preserve">**cascada** decide care regulă câștigă; **specificitatea** (ID &gt; clasă/atribut/pseudo‑clasă &gt; tip/pseudo‑element) </w:t>
        <w:br/>
        <w:t xml:space="preserve">determină prioritatea între regulile aflate la același „nivel” în cascadă; **moștenirea** asigură transmiterea </w:t>
        <w:br/>
        <w:t xml:space="preserve">unor proprietăți (de exemplu `color`, `font-family`) către descendenți. În practică, obiectivul nostru este să </w:t>
        <w:br/>
        <w:t xml:space="preserve">obținem stiluri **predictibile** cu **specificitate mică**, pentru a facilita extensia și întreținerea. </w:t>
        <w:br/>
        <w:t>Evităm `!important` (cu excepții bine motivate) și preferăm compoziții clare de clase și selectori.</w:t>
      </w:r>
    </w:p>
    <w:p>
      <w:r>
        <w:t>Trucuri utile de disciplină:</w:t>
        <w:br/>
        <w:t>• mențineți **lanțurile de selectori** puțin adânci (1–2 combinatori),</w:t>
        <w:br/>
        <w:t>• preferați **clase de utilitate** pentru ajustări frecvente,</w:t>
        <w:br/>
        <w:t>• folosiți `:where()` ca „neutralizator de specificitate” în prefața lanțurilor.</w:t>
      </w:r>
    </w:p>
    <w:p>
      <w:pPr>
        <w:pStyle w:val="Code"/>
      </w:pPr>
      <w:r>
        <w:t>:root {</w:t>
        <w:br/>
        <w:t xml:space="preserve">  --space-2: 0.5rem; --space-4: 1rem; --ring: 2px solid #1a73e8;</w:t>
        <w:br/>
        <w:t>}</w:t>
        <w:br/>
        <w:t>/* Straturi de specificitate redusă */</w:t>
        <w:br/>
        <w:t>:where(.btn, .tag, .chip) { border-radius: .5rem; }</w:t>
        <w:br/>
        <w:br/>
        <w:t>/* Claritate în combinare (sibling + child combinators) */</w:t>
        <w:br/>
        <w:t>.card { display: grid; gap: var(--space-4); }</w:t>
        <w:br/>
        <w:t>.card &gt; h3 + p { margin-top: calc(var(--space-2) * -1); }</w:t>
      </w:r>
    </w:p>
    <w:p>
      <w:r>
        <w:rPr>
          <w:b/>
          <w:sz w:val="26"/>
        </w:rPr>
        <w:t>2. Taxonomia selec­torilor (CSS Selectors) — de la fundament la `:has()`</w:t>
      </w:r>
    </w:p>
    <w:p>
      <w:r>
        <w:t xml:space="preserve">**De bază**: selectori de tip (element), de clasă (`.class`) și de ID (`#id`), în combinație cu </w:t>
        <w:br/>
        <w:t xml:space="preserve">**combinatori**: `A B` (descendent), `A &gt; B` (copil), `A + B` (adjacent), `A ~ B` (frați generali). </w:t>
        <w:br/>
        <w:t xml:space="preserve">**Selectori de atribute**: `[attr]`, `[attr="value"]`, `[attr^="pre"]`, `[attr$="suf"]`, `[attr*="sub"]`, </w:t>
        <w:br/>
        <w:t>și semnalizatorul **case‑insensitive** `i` (`[attr="value" i]`).</w:t>
      </w:r>
    </w:p>
    <w:p>
      <w:r>
        <w:t xml:space="preserve">**Pseudo‑clase structurale**: `:first-child`, `:last-child`, `:only-child`, `:nth-child(an+b)`, </w:t>
        <w:br/>
        <w:t xml:space="preserve">`:nth-of-type()`, `:empty`, `:not()`. </w:t>
        <w:br/>
        <w:t xml:space="preserve">**Pseudo‑clase de interacțiune/focus**: `:hover`, `:active`, `:focus`, `:focus-visible`, `:focus-within`, `:target`. </w:t>
        <w:br/>
        <w:t xml:space="preserve">**Pseudo‑clase UI/Form**: `:checked`, `:disabled/:enabled`, `:required/:optional`, `:valid/:invalid`, </w:t>
        <w:br/>
        <w:t xml:space="preserve">`:in-range/:out-of-range`, `:placeholder-shown`, `:read-only/:read-write`. </w:t>
        <w:br/>
        <w:t xml:space="preserve">**Pseudo‑clase moderne pentru compoziție**: `:is()` și `:where()` (diferență cheie: **specificitatea** – </w:t>
        <w:br/>
        <w:t xml:space="preserve">`:where()` contribuie cu 0). </w:t>
        <w:br/>
        <w:t>**`:has()`** (relațional): permite „stilarea părintelui” în funcție de existența unui descendent potrivit.</w:t>
      </w:r>
    </w:p>
    <w:p>
      <w:pPr>
        <w:pStyle w:val="Code"/>
      </w:pPr>
      <w:r>
        <w:t>/* Grupare cu :is() / :where() pentru scăderea specificității */</w:t>
        <w:br/>
        <w:t>:where(button, .btn, [role="button"]):is(:hover, :focus-visible) {</w:t>
        <w:br/>
        <w:t xml:space="preserve">  outline: var(--ring);</w:t>
        <w:br/>
        <w:t xml:space="preserve">  outline-offset: 2px;</w:t>
        <w:br/>
        <w:t>}</w:t>
        <w:br/>
        <w:br/>
        <w:t>/* Parent styling cu :has(): grup de formular devine 'invalid' dacă are input invalid */</w:t>
        <w:br/>
        <w:t>.form-group:has(input:invalid),</w:t>
        <w:br/>
        <w:t>.form-group:has(select:invalid) {</w:t>
        <w:br/>
        <w:t xml:space="preserve">  --border: #b00020;</w:t>
        <w:br/>
        <w:t xml:space="preserve">  border-color: var(--border);</w:t>
        <w:br/>
        <w:t xml:space="preserve">  background: color-mix(in oklab, var(--border) 6%, white);</w:t>
        <w:br/>
        <w:t>}</w:t>
      </w:r>
    </w:p>
    <w:p>
      <w:r>
        <w:rPr>
          <w:b/>
          <w:sz w:val="26"/>
        </w:rPr>
        <w:t>3. Form styling (UI states) — accesibil, predictibil, coerent</w:t>
      </w:r>
    </w:p>
    <w:p>
      <w:r>
        <w:t xml:space="preserve">Form‑urile sunt locul în care **state‑urile UI** contează: `:placeholder-shown`, `:required/:optional`, </w:t>
        <w:br/>
        <w:t xml:space="preserve">`:valid/:invalid`, `:focus/:focus-visible`, `:disabled`, `:read-only` etc. Un formular robust are **focus ring** </w:t>
        <w:br/>
        <w:t xml:space="preserve">vizibil, **spațiere** suficientă, **contrast** adecvat (WCAG recomandă minim 4.5:1 pentru text normal), </w:t>
        <w:br/>
        <w:t xml:space="preserve">și **mesaje de eroare** lângă câmpurile problematice. Plasarea mesajelor în proximitatea câmpului reduce timpul </w:t>
        <w:br/>
        <w:t xml:space="preserve">de corecție și crește eficiența, lucru susținut de studii controlate cu *eye tracking* asupra formularelor </w:t>
        <w:br/>
        <w:t>și asupra complexității vizuale (de ex., Hall &amp; Hanna, 2004; Tuch et al., 2009; Seckler et al., 2014).</w:t>
      </w:r>
    </w:p>
    <w:p>
      <w:pPr>
        <w:pStyle w:val="Code"/>
      </w:pPr>
      <w:r>
        <w:t>/* Focus ring coerent și diferit de :hover */</w:t>
        <w:br/>
        <w:t>:where(input, select, textarea, button):focus-visible {</w:t>
        <w:br/>
        <w:t xml:space="preserve">  outline: var(--ring);</w:t>
        <w:br/>
        <w:t xml:space="preserve">  outline-offset: 2px;</w:t>
        <w:br/>
        <w:t>}</w:t>
        <w:br/>
        <w:br/>
        <w:t>/* Stări de validare nativă: */</w:t>
        <w:br/>
        <w:t>input:required:invalid { border-color: #b00020; }</w:t>
        <w:br/>
        <w:t>input:required:valid   { border-color: #1e8e3e; }</w:t>
        <w:br/>
        <w:br/>
        <w:t>/* Parent highlight cu :has() */</w:t>
        <w:br/>
        <w:t>.field:has(input:focus) { box-shadow: 0 0 0 2px color-mix(in oklab, #1a73e8 20%, transparent); }</w:t>
        <w:br/>
        <w:br/>
        <w:t>/* Accenting nativ pentru checkbox/radio */</w:t>
        <w:br/>
        <w:t>input[type="checkbox"], input[type="radio"] { accent-color: #1a73e8; }</w:t>
        <w:br/>
        <w:br/>
        <w:t>/* File input */</w:t>
        <w:br/>
        <w:t>input[type="file"]::file-selector-button {</w:t>
        <w:br/>
        <w:t xml:space="preserve">  padding: .5rem .75rem;</w:t>
        <w:br/>
        <w:t xml:space="preserve">  border: 1px solid #ccc;</w:t>
        <w:br/>
        <w:t xml:space="preserve">  background: #f9f9f9;</w:t>
        <w:br/>
        <w:t xml:space="preserve">  cursor: pointer;</w:t>
        <w:br/>
        <w:t>}</w:t>
      </w:r>
    </w:p>
    <w:p>
      <w:r>
        <w:t xml:space="preserve">**Contrastul** rămâne un factor cognitiv major pentru lizibilitate și reținere: studii clasice arată impactul </w:t>
        <w:br/>
        <w:t xml:space="preserve">combinațiilor culoare‑text asupra citirii și memoriei, iar literatura HCI recomandă limite minime de contrast </w:t>
        <w:br/>
        <w:t>(WCAG) superioare standardelor ISO pentru a acoperi variabilitatea percepțiilor (de exemplu, deficiențe de culoare).</w:t>
      </w:r>
    </w:p>
    <w:p>
      <w:r>
        <w:rPr>
          <w:b/>
          <w:sz w:val="26"/>
        </w:rPr>
        <w:t>4. Layouturi moderne cu CSS Grid — cazul 3×3</w:t>
      </w:r>
    </w:p>
    <w:p>
      <w:r>
        <w:t xml:space="preserve">**Grid** este soluția naturală pentru layouturi bidimensionale (rânduri × coloane). Un **grid 3×3** </w:t>
        <w:br/>
        <w:t xml:space="preserve">clasic pentru carduri de cluburi poate fi definit cu `repeat(3, 1fr)` și `gap`, apoi făcut **responsiv** cu `auto-fit` </w:t>
        <w:br/>
        <w:t xml:space="preserve">și `minmax()` sau cu *media queries*, astfel încât să colapseze la 2 coloane și apoi la 1 pe ecrane înguste. </w:t>
        <w:br/>
        <w:t xml:space="preserve">Pentru raportare coerentă de imagini, folosiți `aspect-ratio`. Pentru mapări semantice ale zonelor, utilizați </w:t>
        <w:br/>
        <w:t>`grid-template-areas`.</w:t>
      </w:r>
    </w:p>
    <w:p>
      <w:pPr>
        <w:pStyle w:val="Code"/>
      </w:pPr>
      <w:r>
        <w:t>.cards {</w:t>
        <w:br/>
        <w:t xml:space="preserve">  --gap: 1rem;</w:t>
        <w:br/>
        <w:t xml:space="preserve">  display: grid;</w:t>
        <w:br/>
        <w:t xml:space="preserve">  grid-template-columns: repeat(3, 1fr);</w:t>
        <w:br/>
        <w:t xml:space="preserve">  gap: var(--gap);</w:t>
        <w:br/>
        <w:t>}</w:t>
        <w:br/>
        <w:t>@media (max-width: 900px) {</w:t>
        <w:br/>
        <w:t xml:space="preserve">  .cards { grid-template-columns: repeat(2, 1fr); }</w:t>
        <w:br/>
        <w:t>}</w:t>
        <w:br/>
        <w:t>@media (max-width: 520px) {</w:t>
        <w:br/>
        <w:t xml:space="preserve">  .cards { grid-template-columns: 1fr; }</w:t>
        <w:br/>
        <w:t>}</w:t>
        <w:br/>
        <w:br/>
        <w:t>/* Variante cu auto-fit + minmax */</w:t>
        <w:br/>
        <w:t>.cards-auto {</w:t>
        <w:br/>
        <w:t xml:space="preserve">  display: grid;</w:t>
        <w:br/>
        <w:t xml:space="preserve">  grid-template-columns: repeat(auto-fit, minmax(16rem, 1fr));</w:t>
        <w:br/>
        <w:t xml:space="preserve">  gap: 1rem;</w:t>
        <w:br/>
        <w:t>}</w:t>
        <w:br/>
        <w:t>.card__media { aspect-ratio: 4 / 3; object-fit: cover; }</w:t>
      </w:r>
    </w:p>
    <w:p>
      <w:r>
        <w:t>**Grid areas** clarifică intenția și documentează layoutul în sine (auto‑documentare).</w:t>
      </w:r>
    </w:p>
    <w:p>
      <w:pPr>
        <w:pStyle w:val="Code"/>
      </w:pPr>
      <w:r>
        <w:t>.layout {</w:t>
        <w:br/>
        <w:t xml:space="preserve">  display: grid;</w:t>
        <w:br/>
        <w:t xml:space="preserve">  grid-template-areas:</w:t>
        <w:br/>
        <w:t xml:space="preserve">    "hd  hd  hd"</w:t>
        <w:br/>
        <w:t xml:space="preserve">    "sb  main main"</w:t>
        <w:br/>
        <w:t xml:space="preserve">    "ft  ft  ft";</w:t>
        <w:br/>
        <w:t xml:space="preserve">  grid-template-columns: 16rem 1fr 1fr;</w:t>
        <w:br/>
        <w:t xml:space="preserve">  grid-template-rows: auto 1fr auto;</w:t>
        <w:br/>
        <w:t xml:space="preserve">  gap: 1rem;</w:t>
        <w:br/>
        <w:t>}</w:t>
        <w:br/>
        <w:t>.header { grid-area: hd; } .sidebar { grid-area: sb; }</w:t>
        <w:br/>
        <w:t>.main { grid-area: main; } .footer { grid-area: ft; }</w:t>
      </w:r>
    </w:p>
    <w:p>
      <w:r>
        <w:rPr>
          <w:b/>
          <w:sz w:val="26"/>
        </w:rPr>
        <w:t>5. Accesibilitate &amp; ergonomie cognitivă (legătura cu HCI)</w:t>
      </w:r>
    </w:p>
    <w:p>
      <w:r>
        <w:t xml:space="preserve">Două principii HCI oferă ancore utile pentru decizii CSS orientate pe **focus** și **densitate**: </w:t>
        <w:br/>
        <w:t xml:space="preserve">(1) **Fitts’ law** — timpul de atingere a unei ținte crește cu distanța și scade cu dimensiunea (mai exact, </w:t>
        <w:br/>
        <w:t xml:space="preserve">depinde de raportul dintre distanță și lățimea țintei); (2) **Hick–Hyman law** — timpul deciziei crește </w:t>
        <w:br/>
        <w:t xml:space="preserve">logaritmic cu numărul de alternative. În practică: **asigurați ținte suficient de mari** (buton/form control) și </w:t>
        <w:br/>
        <w:t xml:space="preserve">**evitați supraîncărcarea vizuală** în grid‑uri sau meniuri. Cercetări despre **complexitatea vizuală** confirmă </w:t>
        <w:br/>
        <w:t xml:space="preserve">asocieri între aglomerare, scăderea eficienței și memorie mai slabă; CSS oferă remedii concrete (spațiere, </w:t>
        <w:br/>
        <w:t>ierarhii vizuale, culori cu contrast bun, separatoare blânde).</w:t>
      </w:r>
    </w:p>
    <w:p>
      <w:r>
        <w:t xml:space="preserve">Pentru contrastul perceput, literatura de culoare propune metrice precum **CIEDE2000**; în web, algoritmul </w:t>
        <w:br/>
        <w:t xml:space="preserve">WCAG de contrast (bazat pe luminanță relativă sRGB) rămâne standard practic, dar înțelegerea metricei CIEDE2000 </w:t>
        <w:br/>
        <w:t>ajută la raționamente cromatice în temele (dark/light) și în diferențierea badge‑urilor.</w:t>
      </w:r>
    </w:p>
    <w:p>
      <w:r>
        <w:rPr>
          <w:b/>
          <w:sz w:val="26"/>
        </w:rPr>
        <w:t>6. Performanță &amp; întreținere — de ce ne pasă de simplitatea selec­torilor</w:t>
      </w:r>
    </w:p>
    <w:p>
      <w:r>
        <w:t xml:space="preserve">CSS poate declanșa recalculări de **style**, **layout** (reflow) și **paint**/compoziție. Deși stilurile sunt, </w:t>
        <w:br/>
        <w:t xml:space="preserve">în general, ieftine, **lanțurile de selectori foarte adânci** și pattern‑urile care forțează schimbări frecvente de </w:t>
        <w:br/>
        <w:t xml:space="preserve">layout pot penaliza. Practic: mențineți selectori **simpli și puțini**, evitați animarea proprietăților care declanșează </w:t>
        <w:br/>
        <w:t xml:space="preserve">layout (de exemplu `width`, `height`), preferând `transform`/`opacity`, și folosiți `contain` acolo unde izolați sub‑arbori </w:t>
        <w:br/>
        <w:t>DOM („containers”).</w:t>
      </w:r>
    </w:p>
    <w:p>
      <w:pPr>
        <w:pStyle w:val="Code"/>
      </w:pPr>
      <w:r>
        <w:t>article { contain: content; } /* limitează efectele recalculelor în interiorul articolului */</w:t>
      </w:r>
    </w:p>
    <w:p>
      <w:r>
        <w:rPr>
          <w:b/>
          <w:sz w:val="26"/>
        </w:rPr>
        <w:t>7. BEM, utilitare și tokenizare (CSS custom properties)</w:t>
      </w:r>
    </w:p>
    <w:p>
      <w:r>
        <w:t xml:space="preserve">Pentru proiecte didactice și reale, **BEM** oferă o gramatică de numire predictibilă. **CSS custom properties** </w:t>
        <w:br/>
        <w:t xml:space="preserve">— ca „design tokens” (`--color-primary`, `--space-4`, `--radius-sm`) — permit tematici consistente (light/dark) și </w:t>
        <w:br/>
        <w:t>ajută la reducerea specificității prin concentrarea deciziilor în root și în blocuri.</w:t>
      </w:r>
    </w:p>
    <w:p>
      <w:pPr>
        <w:pStyle w:val="Code"/>
      </w:pPr>
      <w:r>
        <w:t>.btn { --bg: #1a73e8; --fg: white; background: var(--bg); color: var(--fg); }</w:t>
        <w:br/>
        <w:t>.btn--secondary { --bg: #5f6368; }</w:t>
      </w:r>
    </w:p>
    <w:p>
      <w:r>
        <w:rPr>
          <w:b/>
          <w:sz w:val="26"/>
        </w:rPr>
        <w:t>8. Exemple aplicate pe scenariu (Clubs &amp; Associations Hub)</w:t>
      </w:r>
    </w:p>
    <w:p>
      <w:r>
        <w:t xml:space="preserve">**Carduri în grid 3×3** cu stări `:hover/:focus-visible` bine definite; **formular de înscriere** cu `:has()` </w:t>
        <w:br/>
        <w:t xml:space="preserve">pentru evidențierea grupurilor cu erori; **badge‑uri** pentru statut (de ex., „înscrieri deschise”) randate cu `::before`; </w:t>
        <w:br/>
        <w:t xml:space="preserve">**link‑uri de salt** (`#details`) și `:target` pentru a sublinia secțiunea activă. Fiecare micro‑decizie folosește </w:t>
        <w:br/>
        <w:t>selectors cu specificitate minimă, ușor de extins.</w:t>
      </w:r>
    </w:p>
    <w:p>
      <w:pPr>
        <w:pStyle w:val="Code"/>
      </w:pPr>
      <w:r>
        <w:t>/* Grid 3x3 + card states */</w:t>
        <w:br/>
        <w:t>.cards { display: grid; gap: 1rem; grid-template-columns: repeat(3, 1fr); }</w:t>
        <w:br/>
        <w:t>.card { background: white; border: 1px solid #e5e7eb; border-radius: .75rem; padding: 1rem; }</w:t>
        <w:br/>
        <w:t>.card:where(:hover, :focus-within) { border-color: #1a73e8; box-shadow: 0 2px 8px rgba(0,0,0,.06); }</w:t>
        <w:br/>
        <w:t>.card__badge::before { content: "Open"; display: inline-block; padding: .125rem .5rem; background: #1e8e3e; color: white; border-radius: 999px; font-size: .75rem; }</w:t>
      </w:r>
    </w:p>
    <w:p>
      <w:r>
        <w:rPr>
          <w:b/>
          <w:sz w:val="26"/>
        </w:rPr>
        <w:t>9. AI‑assist (Copilot/LLM) — promturi VSL de lucru real</w:t>
      </w:r>
    </w:p>
    <w:p>
      <w:r>
        <w:t>Exemple de promturi scurte, iterative (**VSL** = *very short loop*) pentru a accelera munca fără a pierde controlul:</w:t>
        <w:br/>
        <w:br/>
        <w:t>• „Generează un set minimal de selectori pentru focus vizibil pe linkuri, butoane și inputuri, **folosind** `:where()` pentru specificitate 0 și `outline-offset: 2px`.”</w:t>
        <w:br/>
        <w:br/>
        <w:t>• „Propune un **grid 3×3** responsiv (3→2→1) cu `minmax(16rem, 1fr)` și exemplu de card cu `aspect-ratio: 4/3`.”</w:t>
        <w:br/>
        <w:br/>
        <w:t>• „Transformă acest lanț de selectori adânci într‑o variantă echivalentă cu **maxim doi combinatori** și clase semantic‑clare (`.card`, `.field`, `.form-group`).”</w:t>
        <w:br/>
        <w:br/>
        <w:t>• „Scrie un set de reguli `:has(input:invalid)` pentru a evidenția **doar** grupurile cu erori și o zonă `.errors[role="status"]` pentru sumar.”</w:t>
        <w:br/>
        <w:br/>
        <w:t>• „Sugerează **tokens** (`--space-*`, `--radius-*`, `--color-*`) pentru theming light/dark și arată cum schimb `--color-primary` în funcție de `prefers-color-scheme`.”</w:t>
      </w:r>
    </w:p>
    <w:p>
      <w:r>
        <w:rPr>
          <w:b/>
          <w:sz w:val="26"/>
        </w:rPr>
        <w:t>10. Checklist teoretic (ce ar trebui să stăpâniți după această parte)</w:t>
      </w:r>
    </w:p>
    <w:p>
      <w:r>
        <w:t>• Puteți explica **cascade/specificitate/moștenire** și să justificați evitarea `!important`.</w:t>
        <w:br/>
        <w:br/>
        <w:t>• Cunoașteți **selectori moderni**: `:is()`, `:where()`, `:has()`, diferențele lor de specificitate și cazurile de utilizare.</w:t>
        <w:br/>
        <w:br/>
        <w:t>• Știți să proiectați **form styling** robust (focus ring, stări nativ‑valide/invalid, accent‑color, `::file-selector-button`).</w:t>
        <w:br/>
        <w:br/>
        <w:t>• Puteți compune un **grid 3×3** responsiv, cu *grid areas* și *aspect-ratio* pentru media.</w:t>
        <w:br/>
        <w:br/>
        <w:t>• Înțelegeți legătura cu **HCI** (Fitts, Hick, complexitate vizuală) și **contrastul** (WCAG, CIEDE2000 ca fundal teoretic).</w:t>
        <w:br/>
        <w:br/>
        <w:t>• Aveți reflexe de **performanță** (contain, evitarea animării layout‑ului) și de **întreținere** (BEM, tokens).</w:t>
      </w:r>
    </w:p>
    <w:p>
      <w:r>
        <w:rPr>
          <w:b/>
          <w:sz w:val="26"/>
        </w:rPr>
        <w:t>Referințe (APA, cu DOI)</w:t>
      </w:r>
    </w:p>
    <w:p>
      <w:r>
        <w:t>Hall, R. H., &amp; Hanna, P. (2004). The impact of web page text‑background colour combinations on readability, retention, aesthetics, and behavioural intention. *Behaviour &amp; Information Technology, 23*(3), 183–195. https://doi.org/10.1080/01449290410001669932</w:t>
      </w:r>
    </w:p>
    <w:p>
      <w:r>
        <w:t>Tuch, A. N., Bargas‑Avila, J. A., Opwis, K., &amp; Wilhelm, F. H. (2009). Visual complexity of websites: Effects on users’ experience, physiology, performance, and memory. *International Journal of Human‑Computer Studies, 67*(9), 703–715. https://doi.org/10.1016/j.ijhcs.2009.04.002</w:t>
      </w:r>
    </w:p>
    <w:p>
      <w:r>
        <w:t>Seckler, M., Heinz, S., Bargas‑Avila, J. A., Opwis, K., &amp; Tuch, A. N. (2014). Designing usable web forms: Empirical evaluation of web form improvement guidelines. *Proceedings of the 2014 CHI Conference on Human Factors in Computing Systems*. https://doi.org/10.1145/2556288.2557265</w:t>
      </w:r>
    </w:p>
    <w:p>
      <w:r>
        <w:t>Hick, W. E. (1952). On the rate of gain of information. *Quarterly Journal of Experimental Psychology, 4*(1), 11–26. https://doi.org/10.1080/17470215208416600</w:t>
      </w:r>
    </w:p>
    <w:p>
      <w:r>
        <w:t>Fitts, P. M. (1954). The information capacity of the human motor system in controlling the amplitude of movement. *Journal of Experimental Psychology, 47*(6), 381–391. https://doi.org/10.1037/h0055392</w:t>
      </w:r>
    </w:p>
    <w:p>
      <w:r>
        <w:t>Liu, W., Zeng, F., &amp; Chen, X. (2022). Eye tracking, usability, and user experience: A systematic literature review. *International Journal of Human‑Computer Interaction, 38*(15), 1478–1505. https://doi.org/10.1080/10447318.2021.2002044</w:t>
      </w:r>
    </w:p>
    <w:p>
      <w:r>
        <w:t>Sharma, G., Wu, W., &amp; Dalal, E. N. (2005). The CIEDE2000 color‑difference formula: Implementation notes, supplementary test data, and mathematical observations. *Color Research &amp; Application, 30*(1), 21–30. https://doi.org/10.1002/col.20070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>
      <w:r>
        <w:rPr/>
        <w:t>1</w:t>
      </w:r>
    </w:fldSimple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/>
        <w:sz w:val="20"/>
      </w:rPr>
      <w:t>Seminarul 5 — CSS Selectors &amp; Layout (pseudo‑clase, form styling, grid 3×3)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