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5 — Partea 3: Proiecte/teme (extins)</w:t>
      </w:r>
    </w:p>
    <w:p>
      <w:r>
        <w:rPr>
          <w:b/>
          <w:sz w:val="26"/>
        </w:rPr>
        <w:t>Introducere și metodologie</w:t>
      </w:r>
    </w:p>
    <w:p>
      <w:r>
        <w:t>Această parte livrează **45 de proiecte** (15 × L1, 15 × L2, 15 × L3) concepute pentru a consolida „gândirea în selectori” și fluența în layout‑uri moderne. Fiecare proiect are o **temă unică**, dar toate gravitează în jurul aceleiași aplicații narative — „Clubs &amp; Associations Hub”: listări în **grid 3×3**, formulare accesibile, componente CSS-only și theming cu **CSS custom properties**. Pentru fiecare proiect oferim: **Scop didactic**, **Specificații (Cerințe)**, **Criterii de acceptare**, **Soluție (rezumat)** și **AI‑assist prompts** (VSL — very short loop).</w:t>
      </w:r>
    </w:p>
    <w:p>
      <w:r>
        <w:t>În fișierele livrate găsiți atât o **arhivă „standalone”** (câte un mini‑repo per proiect), cât și o **variantă monorepo (PNPM workspaces)**. Toate proiectele conțin **teste unitare** (Vitest + Jest, jsdom) orientate pe **convenții**: verifică existența selectorilor și pattern‑urilor relevante în `styles.css` și a structurilor necesare în `public/index.html`. Fiecare proiect are `tests/config.json` — un mic profil al așteptărilor, pe care testerul îl citește pentru a valida **exact** acele pattern‑uri.</w:t>
      </w:r>
    </w:p>
    <w:p>
      <w:r>
        <w:rPr>
          <w:b/>
          <w:sz w:val="26"/>
        </w:rPr>
        <w:t>Proiecte L1 (Fundamente) — 15 teme</w:t>
      </w:r>
    </w:p>
    <w:p>
      <w:r>
        <w:rPr>
          <w:b/>
          <w:sz w:val="26"/>
        </w:rPr>
        <w:t>L1 — P01. Grid 3×3 de carduri — structură de bază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display:\s*grid, grid-template-columns:\s*repeat\(3,\s*1fr\). HTML include: &lt;main id="app".</w:t>
      </w:r>
    </w:p>
    <w:p>
      <w:r>
        <w:t>**Soluție (rezumat).** Definește `.cards { display: grid; grid-template-columns: repeat(3, 1fr); gap: 1rem; }` și media queries pentru 3→2→1.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P02. Focus vizibil universal — linkuri, butoane, inputuri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:focus-visible. HTML include: &lt;main id="app".</w:t>
      </w:r>
    </w:p>
    <w:p>
      <w:r>
        <w:t>**Soluție (rezumat).** Uniformizează `:focus-visible` pentru linkuri/butoane/inputuri cu `outline` și `outline-offset`.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P03. Form minimal — :required/:optional și :placeholder-shown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:invalid, :valid, :focus-within, :placeholder-shown. HTML include: &lt;main id="app".</w:t>
      </w:r>
    </w:p>
    <w:p>
      <w:r>
        <w:t>**Soluție (rezumat).** Folosește `:required/:valid/:invalid`, `:placeholder-shown` și `:focus-within` pentru feedback local.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P04. Badge-uri pe atribute — [data-status]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\[data-, \[\w+[\^\$\*]?=.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P05. Liste „zebra” — :nth-child(odd/even)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:nth-.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P06. Link states — :visited, :hover, :focus-visible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:focus-visible. HTML include: &lt;main id="app".</w:t>
      </w:r>
    </w:p>
    <w:p>
      <w:r>
        <w:t>**Soluție (rezumat).** Uniformizează `:focus-visible` pentru linkuri/butoane/inputuri cu `outline` și `outline-offset`.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P07. Button states — :hover/:active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P08. Checkbox/Radio — accent-color + fieldset/legend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accent-color. HTML include: &lt;main id="app".</w:t>
      </w:r>
    </w:p>
    <w:p>
      <w:r>
        <w:t>**Soluție (rezumat).** Setează `accent-color` și etichetează clar opțiunile.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P09. File input — ::file-selector-button (basic)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::file-selector-button. HTML include: &lt;main id="app".</w:t>
      </w:r>
    </w:p>
    <w:p>
      <w:r>
        <w:t>**Soluție (rezumat).** Stilizează `::file-selector-button` și păstrează contrastul suficient.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P10. Grupuri cu :focus-within (form groups)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:focus-visible. CSS include **cel puțin unu** dintre: :invalid, :valid, :focus-within, :placeholder-shown. HTML include: &lt;main id="app".</w:t>
      </w:r>
    </w:p>
    <w:p>
      <w:r>
        <w:t>**Soluție (rezumat).** Uniformizează `:focus-visible` pentru linkuri/butoane/inputuri cu `outline` și `outline-offset`. Folosește `:required/:valid/:invalid`, `:placeholder-shown` și `:focus-within` pentru feedback local.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P11. Erori locale — input:invalid + mesaje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P12. Selecții negative — :not() pentru simplificare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P13. Secțiuni ancoră — :target highlight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P14. BEM naming pentru componente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L1 — P15. Tokens (CSS custom properties) + light/dark</w:t>
      </w:r>
    </w:p>
    <w:p>
      <w:r>
        <w:t>**Scop didactic.** Formarea reflexelor pentru selectori simpli și layout predictibil.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Proiecte L2 (Intermediare) — 15 teme</w:t>
      </w:r>
    </w:p>
    <w:p>
      <w:r>
        <w:rPr>
          <w:b/>
          <w:sz w:val="26"/>
        </w:rPr>
        <w:t>L2 — P01. :is() și :where() — scăderea specificității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:is\(, :where\(. HTML include: &lt;main id="app".</w:t>
      </w:r>
    </w:p>
    <w:p>
      <w:r>
        <w:t>**Soluție (rezumat).** Rescrie lanțurile adânci cu `:where()` pentru a neutraliza specificitatea și `:is()` pentru a grupa stările.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P02. Parent highlight cu :has(input:invalid)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:has\(. HTML include: &lt;main id="app".</w:t>
      </w:r>
    </w:p>
    <w:p>
      <w:r>
        <w:t>**Soluție (rezumat).** Aplică `:has(input:invalid)` pe `.form-group` pentru a colora containerul doar la erori.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P03. Form actions — position: sticky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:invalid, :valid, :focus-within, :placeholder-shown. HTML include: &lt;main id="app".</w:t>
      </w:r>
    </w:p>
    <w:p>
      <w:r>
        <w:t>**Soluție (rezumat).** Folosește `:required/:valid/:invalid`, `:placeholder-shown` și `:focus-within` pentru feedback local.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P04. Grid 3×3 responsiv — 3→2→1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display:\s*grid, grid-template-columns:\s*repeat\(3,\s*1fr\), @media, grid-template-columns. HTML include: &lt;main id="app".</w:t>
      </w:r>
    </w:p>
    <w:p>
      <w:r>
        <w:t>**Soluție (rezumat).** Definește `.cards { display: grid; grid-template-columns: repeat(3, 1fr); gap: 1rem; }` și media queries pentru 3→2→1.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P05. Card media — aspect-ratio + object-fit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aspect-ratio. HTML include: &lt;main id="app".</w:t>
      </w:r>
    </w:p>
    <w:p>
      <w:r>
        <w:t>**Soluție (rezumat).** Impune `aspect-ratio` pe media pentru rapoarte consecvente.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P06. Grid areas — layout semantic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grid-template-areas. HTML include: &lt;main id="app".</w:t>
      </w:r>
    </w:p>
    <w:p>
      <w:r>
        <w:t>**Soluție (rezumat).** Definește `.cards { display: grid; grid-template-columns: repeat(3, 1fr); gap: 1rem; }` și media queries pentru 3→2→1. Mapează layoutul cu `grid-template-areas` pentru auto‑documentare.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P07. Range slider — thumb &amp; track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::-webkit-slider-thumb, ::-moz-range-thumb.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P08. Rating control (radio) + accent-color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accent-color. HTML include: &lt;main id="app".</w:t>
      </w:r>
    </w:p>
    <w:p>
      <w:r>
        <w:t>**Soluție (rezumat).** Setează `accent-color` și etichetează clar opțiunile.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P09. File input custom (avansat)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::file-selector-button. HTML include: &lt;main id="app".</w:t>
      </w:r>
    </w:p>
    <w:p>
      <w:r>
        <w:t>**Soluție (rezumat).** Stilizează `::file-selector-button` și păstrează contrastul suficient.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P10. Tabs doar CSS — :target / :checked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P11. Accordion doar CSS — :checked + sibling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P12. Tabel comparativ — :nth-of-type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:nth-.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P13. Attribute selectors avansate — ^=, $=, *=, i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\[data-, \[\w+[\^\$\*]?=.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P14. Dark mode preferențial — prefers-color-scheme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L2 — P15. Print stylesheet — versiune tipărire</w:t>
      </w:r>
    </w:p>
    <w:p>
      <w:r>
        <w:t>**Scop didactic.** Compoziții cu selectori moderni, ergonomie și responsive patterns.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@media\s+print.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Proiecte L3 (Avansate) — 15 teme</w:t>
      </w:r>
    </w:p>
    <w:p>
      <w:r>
        <w:rPr>
          <w:b/>
          <w:sz w:val="26"/>
        </w:rPr>
        <w:t>L3 — P01. Design tokens pack — tematici light/dark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P02. Container queries (inline-size) — layout adaptiv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container-type:\s*inline-size. HTML include: &lt;main id="app".</w:t>
      </w:r>
    </w:p>
    <w:p>
      <w:r>
        <w:t>**Soluție (rezumat).** Activează `container-type: inline-size` și scrie o regulă `@container` pentru adaptare fină.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P03. Grid areas complex — pagina „Club details”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grid-template-areas. HTML include: &lt;main id="app".</w:t>
      </w:r>
    </w:p>
    <w:p>
      <w:r>
        <w:t>**Soluție (rezumat).** Definește `.cards { display: grid; grid-template-columns: repeat(3, 1fr); gap: 1rem; }` și media queries pentru 3→2→1. Mapează layoutul cu `grid-template-areas` pentru auto‑documentare.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P04. Nested grids — card compus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Definește `.cards { display: grid; grid-template-columns: repeat(3, 1fr); gap: 1rem; }` și media queries pentru 3→2→1.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P05. Form states matrix — combinarea stărilor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:invalid, :valid, :focus-within, :placeholder-shown. HTML include: &lt;main id="app".</w:t>
      </w:r>
    </w:p>
    <w:p>
      <w:r>
        <w:t>**Soluție (rezumat).** Folosește `:required/:valid/:invalid`, `:placeholder-shown` și `:focus-within` pentru feedback local.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P06. High contrast &amp; reduced motion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P07. Density toggle — compact vs. cozy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P08. Listă tip „email” — :has(:checked) pe rând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:has\(. HTML include: &lt;main id="app".</w:t>
      </w:r>
    </w:p>
    <w:p>
      <w:r>
        <w:t>**Soluție (rezumat).** Aplică `:has(input:invalid)` pe `.form-group` pentru a colora containerul doar la erori.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P09. Scroll snap — carousel de carduri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scroll-snap-type.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P10. Pseudo‑elemente pentru iconografie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P11. Print avansat — page breaks, orphans/widows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toate pattern‑urile: @media\s+print.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P12. Masonry‑like grid — auto-rows hack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Definește `.cards { display: grid; grid-template-columns: repeat(3, 1fr); gap: 1rem; }` și media queries pentru 3→2→1.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P13. Overflow &amp; truncation — ellipsis, hyphenation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text-overflow:\s*ellipsis, overflow:\s*hidden.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P14. Theming extins — palete și aliasuri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L3 — P15. Layout stress test — reziliență la conținut</w:t>
      </w:r>
    </w:p>
    <w:p>
      <w:r>
        <w:t>**Scop didactic.** Arhitecturi CSS scalabile: theming, queries, scenarii avansate.</w:t>
      </w:r>
    </w:p>
    <w:p>
      <w:r>
        <w:t>**Specificații (Cerințe).** Creează pagina proiectului în baza skeleton‑ului (`public/index.html`, `styles.css`). Menține specificitatea scăzută; evită `!important`. Respectă tema proiectului (selectori/Layout) și **criteriile de acceptare** de mai jos.</w:t>
      </w:r>
    </w:p>
    <w:p>
      <w:r>
        <w:t>**Criterii de acceptare.** CSS include **cel puțin unu** dintre: :focus-visible, display:\s*grid. HTML include: &lt;main id="app".</w:t>
      </w:r>
    </w:p>
    <w:p>
      <w:r>
        <w:t>**Soluție (rezumat).** Aplică selectori moderni și layout‑ul potrivit temei, păstrând specificitatea mică.</w:t>
      </w:r>
    </w:p>
    <w:p>
      <w:r>
        <w:t>**AI‑assist (VSL prompts).** Exemplu: „Rescrie selectorii de stări astfel încât să folosesc `:where()` + `:is()` și să păstrez specificitatea minimă”; „Propune media queries pentru colaps 3→2→1 cu lățimi 900px/520px”; „Sugerează reguli `:has(input:invalid)` elegante pentru evidențiere locală a erorilor.”</w:t>
      </w:r>
    </w:p>
    <w:p>
      <w:r>
        <w:rPr>
          <w:b/>
          <w:sz w:val="26"/>
        </w:rPr>
        <w:t>Rubrică (evaluare)</w:t>
      </w:r>
    </w:p>
    <w:p>
      <w:r>
        <w:t>Funcționalitate &amp; UX (40%), Calitatea CSS (35%), Accesibilitate (15%), Testare &amp; disciplină (10%).</w:t>
      </w:r>
    </w:p>
    <w:p>
      <w:r>
        <w:rPr>
          <w:b/>
          <w:sz w:val="26"/>
        </w:rPr>
        <w:t>Referințe (APA, cu DOI)</w:t>
      </w:r>
    </w:p>
    <w:p>
      <w:r>
        <w:t>Hall, R. H., &amp; Hanna, P. (2004). The impact of web page text‑background colour combinations on readability, retention, aesthetics, and behavioural intention. Behaviour &amp; Information Technology, 23(3), 183–195. https://doi.org/10.1080/01449290410001669932</w:t>
      </w:r>
    </w:p>
    <w:p>
      <w:r>
        <w:t>Tuch, A. N., Bargas‑Avila, J. A., Opwis, K., &amp; Wilhelm, F. H. (2009). Visual complexity of websites: Effects on users’ experience, physiology, performance, and memory. International Journal of Human‑Computer Studies, 67(9), 703–715. https://doi.org/10.1016/j.ijhcs.2009.04.002</w:t>
      </w:r>
    </w:p>
    <w:p>
      <w:r>
        <w:t>Seckler, M., Heinz, S., Bargas‑Avila, J. A., Opwis, K., &amp; Tuch, A. N. (2014). Designing usable web forms: Empirical evaluation of web form improvement guidelines. Proceedings of CHI 2014. https://doi.org/10.1145/2556288.2557265</w:t>
      </w:r>
    </w:p>
    <w:p>
      <w:r>
        <w:t>Hick, W. E. (1952). On the rate of gain of information. Quarterly Journal of Experimental Psychology, 4(1), 11–26. https://doi.org/10.1080/17470215208416600</w:t>
      </w:r>
    </w:p>
    <w:p>
      <w:r>
        <w:t>Fitts, P. M. (1954). The information capacity of the human motor system in controlling the amplitude of movement. Journal of Experimental Psychology, 47(6), 381–391. https://doi.org/10.1037/h0055392</w:t>
      </w:r>
    </w:p>
    <w:p>
      <w:r>
        <w:t>Sharma, G., Wu, W., &amp; Dalal, E. N. (2005). The CIEDE2000 color‑difference formula. Color Research &amp; Application, 30(1), 21–30. https://doi.org/10.1002/col.20070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5 — CSS Selectors &amp; Layout • Partea 3 — Proiecte/teme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