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C01 HTTP student learning aid</w:t>
      </w:r>
    </w:p>
    <w:p>
      <w:pPr>
        <w:pStyle w:val="Subtitle"/>
      </w:pPr>
      <w:r>
        <w:t>The Web as a system and the limits of evidence</w:t>
      </w:r>
    </w:p>
    <w:p>
      <w:r>
        <w:t>Use this handout during the 60-minute course and when revising independently. It explains the concepts behind the supplied examples. By the end, you should be able to identify client and server roles, separate a resource from its representation, read a URL and HTTP exchange, interpret a response contract, and state what your evidence does and does not prove.</w:t>
      </w:r>
    </w:p>
    <w:p>
      <w:pPr>
        <w:pStyle w:val="Heading1"/>
      </w:pPr>
      <w:r>
        <w:t>Roles resources and URL components</w:t>
      </w:r>
    </w:p>
    <w:p>
      <w:r>
        <w:t>A client sends a request; a server answers that request. These are roles in a particular exchange. An application answering a browser can itself request data from another service and become a client. A cache or gateway may answer before the application is reached, so a response observed in the browser does not establish that storage was consulted.</w:t>
      </w:r>
    </w:p>
    <w:p>
      <w:r>
        <w:t>A resource is the identified thing you interact with, such as note n-7. A representation is the content describing it in a message. The same resource can have a JSON representation or an HTML representation. The URL identifies the target; a file extension alone does not establish the media type of the response.</w:t>
      </w:r>
    </w:p>
    <w:p>
      <w:pPr>
        <w:spacing w:before="80" w:after="160"/>
      </w:pPr>
      <w:r>
        <w:rPr>
          <w:rFonts w:ascii="Courier New" w:hAnsi="Courier New" w:eastAsia="Courier New" w:cs="Courier New"/>
          <w:sz w:val="18"/>
        </w:rPr>
        <w:t>https://course.example:8443/api/notes?owner=Ada%20Lovelace#details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Component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Value in this address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Purpose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scheme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https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Selects the URI scheme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host and port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course.example and 8443</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Identify the authority to contact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path</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/api/notes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Selects the resource path</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query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owner=Ada%20Lovelace</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Carries the endpoint’s named parameter</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fragment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details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Remains on the client; omitted from the HTTP request target</w:t>
            </w:r>
          </w:p>
        </w:tc>
      </w:tr>
    </w:tbl>
    <w:p>
      <w:pPr>
        <w:spacing w:after="0"/>
      </w:pPr>
    </w:p>
    <w:p>
      <w:r>
        <w:t>The server receives a request target such as /api/notes?owner=Ada%20Lovelace. URLSearchParams decodes that owner value to Ada Lovelace. This endpoint decides what owner means; the URL syntax does not define an application’s filtering rule.</w:t>
      </w:r>
    </w:p>
    <w:p>
      <w:r>
        <w:t>Self-check 1: can a server be a client in another exchange? Self-check 2: which component above is omitted from the request target? Use canonical example 01 to inspect the parsed values.</w:t>
      </w:r>
    </w:p>
    <w:p>
      <w:r>
        <w:br w:type="page"/>
      </w:r>
    </w:p>
    <w:p>
      <w:pPr>
        <w:pStyle w:val="Heading1"/>
      </w:pPr>
      <w:r>
        <w:t>Read the request and response separately</w:t>
      </w:r>
    </w:p>
    <w:p>
      <w:r>
        <w:t>This annotated teaching exchange uses the supplied local note example. The two messages travel in opposite directions. The request proposes content for processing; the response reports the result of that request. HTTP/1.1 is the example’s message form, rather than a claim that every browser connection uses this version.</w:t>
      </w:r>
    </w:p>
    <w:p>
      <w:pPr>
        <w:pStyle w:val="Heading2"/>
      </w:pPr>
      <w:r>
        <w:t>Request sent by the client</w:t>
      </w:r>
    </w:p>
    <w:p>
      <w:pPr>
        <w:spacing w:before="80" w:after="160"/>
      </w:pPr>
      <w:r>
        <w:rPr>
          <w:rFonts w:ascii="Courier New" w:hAnsi="Courier New" w:eastAsia="Courier New" w:cs="Courier New"/>
          <w:sz w:val="18"/>
        </w:rPr>
        <w:t>POST /api/notes HTTP/1.1</w:t>
      </w:r>
      <w:r>
        <w:rPr>
          <w:rFonts w:ascii="Courier New" w:hAnsi="Courier New" w:eastAsia="Courier New" w:cs="Courier New"/>
          <w:sz w:val="18"/>
        </w:rPr>
        <w:br/>
        <w:t>Host: 127.0.0.1:4173</w:t>
      </w:r>
      <w:r>
        <w:rPr>
          <w:rFonts w:ascii="Courier New" w:hAnsi="Courier New" w:eastAsia="Courier New" w:cs="Courier New"/>
          <w:sz w:val="18"/>
        </w:rPr>
        <w:br/>
        <w:t>Content-Type: application/json</w:t>
      </w:r>
      <w:r>
        <w:rPr>
          <w:rFonts w:ascii="Courier New" w:hAnsi="Courier New" w:eastAsia="Courier New" w:cs="Courier New"/>
          <w:sz w:val="18"/>
        </w:rPr>
        <w:br/>
      </w:r>
      <w:r>
        <w:rPr>
          <w:rFonts w:ascii="Courier New" w:hAnsi="Courier New" w:eastAsia="Courier New" w:cs="Courier New"/>
          <w:sz w:val="18"/>
        </w:rPr>
        <w:br/>
        <w:t>{"text":"Read diff"}</w:t>
      </w:r>
    </w:p>
    <w:p>
      <w:r>
        <w:t>POST is the method. /api/notes is the target path. Host names the local authority. The request Content-Type describes the request body, which is the JSON object submitted for processing. The blank line separates fields from content. Browser tools may display the same facts in separate panels rather than as this text block.</w:t>
      </w:r>
    </w:p>
    <w:p>
      <w:pPr>
        <w:pStyle w:val="Heading2"/>
      </w:pPr>
      <w:r>
        <w:t>Response sent by the server</w:t>
      </w:r>
    </w:p>
    <w:p>
      <w:pPr>
        <w:spacing w:before="80" w:after="160"/>
      </w:pPr>
      <w:r>
        <w:rPr>
          <w:rFonts w:ascii="Courier New" w:hAnsi="Courier New" w:eastAsia="Courier New" w:cs="Courier New"/>
          <w:sz w:val="18"/>
        </w:rPr>
        <w:t>HTTP/1.1 201 Created</w:t>
      </w:r>
      <w:r>
        <w:rPr>
          <w:rFonts w:ascii="Courier New" w:hAnsi="Courier New" w:eastAsia="Courier New" w:cs="Courier New"/>
          <w:sz w:val="18"/>
        </w:rPr>
        <w:br/>
        <w:t>Location: /api/notes/n-7</w:t>
      </w:r>
      <w:r>
        <w:rPr>
          <w:rFonts w:ascii="Courier New" w:hAnsi="Courier New" w:eastAsia="Courier New" w:cs="Courier New"/>
          <w:sz w:val="18"/>
        </w:rPr>
        <w:br/>
        <w:t>Content-Type: application/json; charset=utf-8</w:t>
      </w:r>
      <w:r>
        <w:rPr>
          <w:rFonts w:ascii="Courier New" w:hAnsi="Courier New" w:eastAsia="Courier New" w:cs="Courier New"/>
          <w:sz w:val="18"/>
        </w:rPr>
        <w:br/>
        <w:t>Example-Trace-Id: trace-create-7</w:t>
      </w:r>
      <w:r>
        <w:rPr>
          <w:rFonts w:ascii="Courier New" w:hAnsi="Courier New" w:eastAsia="Courier New" w:cs="Courier New"/>
          <w:sz w:val="18"/>
        </w:rPr>
        <w:br/>
      </w:r>
      <w:r>
        <w:rPr>
          <w:rFonts w:ascii="Courier New" w:hAnsi="Courier New" w:eastAsia="Courier New" w:cs="Courier New"/>
          <w:sz w:val="18"/>
        </w:rPr>
        <w:br/>
        <w:t>{"id":"n-7","text":"Read diff"}</w:t>
      </w:r>
    </w:p>
    <w:p>
      <w:r>
        <w:t>201 reports creation. Location identifies the resource reported as created. The response Content-Type describes this response body, independently of the request declaration. The optional Example-Trace-Id helps correlate the example. A simpler client can ignore that optional field and still consume the JSON body.</w:t>
      </w:r>
    </w:p>
    <w:p>
      <w:r>
        <w:t>A request header and a response header can share a name yet describe different messages. Do not copy the request’s media type into a claim about the response without checking the response itself. Headers such as Location have semantics that you should read in their defined context.</w:t>
      </w:r>
    </w:p>
    <w:p>
      <w:r>
        <w:t>Self-check 3: identify the method, target, status and both body declarations. Which of those belong to the response? Run canonical example 02 or read its exchange.http without executing it. Label the latter as a supplied trace.</w:t>
      </w:r>
    </w:p>
    <w:p>
      <w:r>
        <w:br w:type="page"/>
      </w:r>
    </w:p>
    <w:p>
      <w:pPr>
        <w:pStyle w:val="Heading1"/>
      </w:pPr>
      <w:r>
        <w:t>Interpret the response contract</w:t>
      </w:r>
    </w:p>
    <w:p>
      <w:r>
        <w:t>The HTTP result and the business result are separate questions. A 201 response supports “the server reported creation”. It does not establish that an expense was approved, payment occurred, or data survived a restart. Those claims require additional evidence from the relevant application boundary.</w:t>
      </w:r>
    </w:p>
    <w:p>
      <w:pPr>
        <w:pStyle w:val="Heading2"/>
      </w:pPr>
      <w:r>
        <w:t>Methods express intended semantics</w:t>
      </w:r>
    </w:p>
    <w:p>
      <w:r>
        <w:t>GET requests a representation of the target resource. Its defined safe semantics do not prohibit incidental work such as logging. POST requests processing of submitted content according to the resource’s own rules; POST does not necessarily create a new resource. DELETE requests removal of the target association, while the application can reject the request under its rules.</w:t>
      </w:r>
    </w:p>
    <w:p>
      <w:r>
        <w:t>Retries deserve care. A connection failure can leave the client uncertain about whether a request was processed. Repeating a request does not automatically represent a second human intention. An application may define an idempotency key, but that convention must be stated and implemented; the key’s mere presence proves nothing.</w:t>
      </w:r>
    </w:p>
    <w:p>
      <w:pPr>
        <w:pStyle w:val="Heading2"/>
      </w:pPr>
      <w:r>
        <w:t>A media type declares an interpretation</w:t>
      </w:r>
    </w:p>
    <w:p>
      <w:r>
        <w:t>In this example the API contract requires application/json and a JSON object containing id and text. Valid JSON bytes with that media type satisfy the representation part of this contract. Invalid JSON fails it. JSON-looking content declared as text/plain is a valid text representation, but it fails this particular JSON API contract. The failure comes from the agreed contract, rather than from a ban on sending JSON source as text.</w:t>
      </w:r>
    </w:p>
    <w:p>
      <w:r>
        <w:t>Content-Language describes the intended natural language audience of a representation. It is a real field name; “Language” is not a substitute for that field. Content-Type, Content-Language and a validator such as ETag serve different purposes.</w:t>
      </w:r>
    </w:p>
    <w:p>
      <w:r>
        <w:t>JSON is a data syntax. REST describes architectural constraints, including a uniform interface, stateless interactions and cacheability. A JSON body, plural route name or particular status code alone does not demonstrate REST conformance. Week 01 introduces that distinction; it does not require a full architectural evaluation.</w:t>
      </w:r>
    </w:p>
    <w:p>
      <w:r>
        <w:t>Self-check 4: does POST imply creation, and does 201 imply payment? Self-check 5: why can text/plain plus JSON-looking text be valid HTTP yet violate this example’s API contract? Use examples 03 and 04 to compare distinct response descriptors and interpretation outcomes.</w:t>
      </w:r>
    </w:p>
    <w:p>
      <w:r>
        <w:br w:type="page"/>
      </w:r>
    </w:p>
    <w:p>
      <w:pPr>
        <w:pStyle w:val="Heading1"/>
      </w:pPr>
      <w:r>
        <w:t>Match a claim to its evidence</w:t>
      </w:r>
    </w:p>
    <w:p>
      <w:r>
        <w:t>Write the claim before choosing the check. For “the live creation response declared JSON”, inspect the response Content-Type through a request. For “all unsupported methods are rejected”, a single successful GET is insufficient. Specify the methods you actually exercised and leave the rest outside the conclusion.</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Artefact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What it can support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What it cannot establish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Source inspection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The implementation currently contains a branch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That the branch executed in your run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Browser Network entry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The selected browser exchange and its fields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Other inputs or durable storage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Automated check</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The named assertions passed for tested inputs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Any property not asserted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Supplied trace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Reasoning about the recorded exchange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Execution on your own computer</w:t>
            </w:r>
          </w:p>
        </w:tc>
      </w:tr>
    </w:tbl>
    <w:p>
      <w:pPr>
        <w:spacing w:after="0"/>
      </w:pPr>
    </w:p>
    <w:p>
      <w:r>
        <w:t>Keep observations separate from inference. “I observed status 201 and Location /api/notes/n-7” names evidence. “The application probably persisted the note” is an inference requiring a persistence check. A missing test failure is also limited: the suite might never assert the property you care about.</w:t>
      </w:r>
    </w:p>
    <w:p>
      <w:pPr>
        <w:pStyle w:val="Heading2"/>
      </w:pPr>
      <w:r>
        <w:t>Challenge a bounded AI proposal</w:t>
      </w:r>
    </w:p>
    <w:p>
      <w:r>
        <w:t>Ask an AI tool to inspect the start command and relevant files before proposing a change. Name the allowed file, the required behaviour and the evidence you expect. Review the diff, then execute the check yourself. A tool’s statement that tests passed is a reported claim until you have the output and understand the assertions.</w:t>
      </w:r>
    </w:p>
    <w:p>
      <w:r>
        <w:t>Canonical example 05 verifies a creation response through live HTTP. In a disposable copy, changing the status from 201 to 200 should make the status assertion fail. That experiment shows sensitivity to one defect. It does not show sensitivity to every possible defect, so restore the copy and keep the limitation in your conclusion.</w:t>
      </w:r>
    </w:p>
    <w:p>
      <w:r>
        <w:t>Do not submit real credentials, personal records or unrelated repository content to an AI service. A supplied prompt or flawed response can be audited without a live account. Label static reasoning as an inference and copied output as supplied evidence. C01 has no separate compulsory Moodle upload; Week 01 seminar S01 defines the individual submission.</w:t>
      </w:r>
    </w:p>
    <w:p>
      <w:r>
        <w:t>Self-check 6: write one claim supported by a Network entry and one stronger claim that it cannot establish. Add the boundary or test that would be needed for the stronger claim.</w:t>
      </w:r>
    </w:p>
    <w:p>
      <w:r>
        <w:br w:type="page"/>
      </w:r>
    </w:p>
    <w:p>
      <w:pPr>
        <w:pStyle w:val="Heading1"/>
      </w:pPr>
      <w:r>
        <w:t>Find the relevant example</w:t>
      </w:r>
    </w:p>
    <w:p>
      <w:r>
        <w:t>The numbered folders below are in 04_CANONICAL_EXAMPLES. Read their README first. They use Node built-ins and need no npm install. The browser presentation and offline trace work without Node. Package verification and executable examples need Node v24.21.0; CHECK_ENVIRONMENT also checks npm 11.19.0.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Folder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Entry run with Node</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20" w:line="247" w:lineRule="auto"/>
            </w:pPr>
            <w:r>
              <w:rPr>
                <w:b/>
                <w:sz w:val="20"/>
              </w:rPr>
              <w:t>Learning use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01-url-boundaries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example.js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URL values and omitted fragment</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02-request-response-anatomy</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verify.mjs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Live request and response fields; recovery</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03-response-contract-check</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check.js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Compare response descriptor contracts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04-representation-contract</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example.js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Media type and parsing outcomes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05-bounded-change-review</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verify-http.mjs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47" w:lineRule="auto"/>
            </w:pPr>
            <w:r>
              <w:rPr>
                <w:sz w:val="20"/>
              </w:rPr>
              <w:t>One focused live check and bounded AI review</w:t>
            </w:r>
          </w:p>
        </w:tc>
      </w:tr>
    </w:tbl>
    <w:p>
      <w:pPr>
        <w:spacing w:after="0"/>
      </w:pPr>
    </w:p>
    <w:p>
      <w:r>
        <w:t>Core independent route: read examples 01–04 and answer the six self-checks. Execute them if the exact runtime is available. Example 05 is an extension after the basic distinctions are secure. RUN_ALL_EXAMPLES runs all five automatically. The 60-minute presentation schedule is a plan, not a measured completion time for every learner.</w:t>
      </w:r>
    </w:p>
    <w:p>
      <w:pPr>
        <w:pStyle w:val="Heading2"/>
      </w:pPr>
      <w:r>
        <w:t>Check your reasoning</w:t>
      </w:r>
    </w:p>
    <w:p>
      <w:r>
        <w:t>1. Yes: the role depends on who requests and who answers in that exchange. 2. The fragment is omitted. 3. Status, Location, response Content-Type and returned id/text belong to the response. 4. POST means processing, and 201 reports creation; neither proves payment. 5. The content is a permitted text representation but does not match the agreed JSON declaration. 6. A Network entry can establish its observed status, but does not establish persistence after restart.</w:t>
      </w:r>
    </w:p>
    <w:p>
      <w:pPr>
        <w:pStyle w:val="Heading2"/>
      </w:pPr>
      <w:r>
        <w:t>Primary reading</w:t>
      </w:r>
    </w:p>
    <w:p>
      <w:r>
        <w:t>Use 00_START_HERE/SOURCES.md for the complete reading map. Read only the relevant sections for a question, rather than the whole standards documents.</w:t>
      </w:r>
    </w:p>
    <w:p>
      <w:pPr>
        <w:spacing w:after="80"/>
      </w:pPr>
      <w:hyperlink r:id="rId11">
        <w:r>
          <w:rPr>
            <w:color w:val="174466"/>
          </w:rPr>
          <w:t>RFC 9110 HTTP Semantics — sections 3, 8, 9 and 15</w:t>
        </w:r>
      </w:hyperlink>
    </w:p>
    <w:p>
      <w:pPr>
        <w:spacing w:after="80"/>
      </w:pPr>
      <w:hyperlink r:id="rId12">
        <w:r>
          <w:rPr>
            <w:color w:val="174466"/>
          </w:rPr>
          <w:t>WHATWG URL Standard — URL representation and URLSearchParams</w:t>
        </w:r>
      </w:hyperlink>
    </w:p>
    <w:p>
      <w:pPr>
        <w:spacing w:after="80"/>
      </w:pPr>
      <w:hyperlink r:id="rId13">
        <w:r>
          <w:rPr>
            <w:color w:val="174466"/>
          </w:rPr>
          <w:t>Fielding dissertation — chapter 5 on REST constraints</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C01 2.0.2-rc.1   |   Week 01 English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9110.html" TargetMode="External"/><Relationship Id="rId12" Type="http://schemas.openxmlformats.org/officeDocument/2006/relationships/hyperlink" Target="https://url.spec.whatwg.org/" TargetMode="External"/><Relationship Id="rId13" Type="http://schemas.openxmlformats.org/officeDocument/2006/relationships/hyperlink" Target="https://ics.uci.edu/~fielding/pubs/dissertation/rest_arch_sty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 HTTP student learning aid</dc:title>
  <dc:subject>Week 01 English teaching material</dc:subject>
  <dc:creator>WebTech ASE</dc:creator>
  <cp:keywords>C01; HTTP; English; release candidate</cp:keywords>
  <dc:description/>
  <cp:lastModifiedBy/>
  <cp:revision>1</cp:revision>
  <dcterms:created xsi:type="dcterms:W3CDTF">2013-12-23T23:15:00Z</dcterms:created>
  <dcterms:modified xsi:type="dcterms:W3CDTF">2013-12-23T23:15:00Z</dcterms:modified>
  <cp:category/>
</cp:coreProperties>
</file>