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02 preparation and transfer</w:t>
      </w:r>
    </w:p>
    <w:p>
      <w:r>
        <w:t xml:space="preserve">RC10 variation method</w:t>
      </w:r>
    </w:p>
    <w:p>
      <w:r>
        <w:t xml:space="preserve">Current collection identity: use PACKAGE_ID.txt at the top of the entire RC10 collection and its declared verification route. The C02 package identity is 06_AUDIT/PACKAGE_ID.txt, with 06_AUDIT/SHA256SUMS.txt, relative to the C02 package root; its unchanged package verifier uses those resealed controls. Retained source-copy indices and predecessor identities describe their frozen source snapshots. The C02 READMEs are explicit documentation derivatives; canonical example HTML, CSS and JavaScript remain protected original source. Do not repair a verification failure by editing manifests yourself.</w:t>
      </w:r>
    </w:p>
    <w:p>
      <w:r>
        <w:t xml:space="preserve">Preserve the extracted classroom collection and its canonical examples. Open examples in an ordinary browser; the historical headless command is outside the supported student route. Do not change browser security settings.</w:t>
      </w:r>
    </w:p>
    <w:p>
      <w:r>
        <w:t xml:space="preserve">For layer-order or layer-removal experiments: (1) use your file manager to create a separate WebTech_Work/C02_Variants folder outside the extracted collection; (2) copy the complete 02-cascade-layer-order example folder into it; (3) open only that copied folder in VS Code and edit its index.html; (4) open the copied index.html in an ordinary browser, inspect matched rules and computed values and compare with the untouched original; (5) keep or delete the disposable working copy without altering collection manifests or original files. Record that this is a variant, with the original source path and your actual change.</w:t>
      </w:r>
    </w:p>
    <w:p>
      <w:r>
        <w:t xml:space="preserve">The supplied canonical layer example initially reports color=rgb(23, 32, 51) and background=rgb(220, 233, 255). Reversing the named layer order makes the legacy declarations win; removing layers makes the more specific legacy selector win. Predict first and record the actual computed result. The presentation and handout use a separate illustrative colour fixture; do not substitute their colours for the canonical page.</w:t>
      </w:r>
    </w:p>
    <w:p>
      <w:r>
        <w:t xml:space="preserve">For a temporary position experiment, open the unchanged 06-flex-positioned-container page, open browser DevTools and select the .card element. In Styles, untick position:relative and inspect the badge. This change lasts only in the inspected page; reload to restore the original. Do not enable Local Overrides, save DevTools changes to disk or edit the protected collection. Use the same temporary checkbox method for single declarations such as flex-wrap or a focus rule. A missing declaration may be experimented with only in the separate disposable copy.</w:t>
      </w:r>
    </w:p>
    <w:p>
      <w:r>
        <w:t xml:space="preserve">An unavailable browser or unperformed variation stays blocked or unexecuted in your observation record. These steps do not claim native browser acceptance.</w:t>
      </w:r>
    </w:p>
    <w:p>
      <w:pPr>
        <w:pStyle w:val="Subtitle"/>
      </w:pPr>
      <w:r>
        <w:t>Web Technologies 2026  Course 02  English  v1.2.2 RC1</w:t>
      </w:r>
    </w:p>
    <w:p>
      <w:r>
        <w:t>Separate readiness before Course 02 from transfer after class. Use the six local examples offline. U02 and U04 are historical topic identifiers, not week numbers or extra prerequisite downloads.</w:t>
      </w:r>
    </w:p>
    <w:p>
      <w:pPr>
        <w:pStyle w:val="Heading1"/>
      </w:pPr>
      <w:r>
        <w:t>Prepare before Course 02</w:t>
      </w:r>
    </w:p>
    <w:p>
      <w:r>
        <w:t>Allow about 10 minutes. Extract the whole package, run VERIFY_PACKAGE for your platform and open START_COURSE_02. Keep the relative directories together. If verification fails, stop and retain the failure output.</w:t>
      </w:r>
    </w:p>
    <w:p>
      <w:pPr>
        <w:pStyle w:val="ListBullet"/>
      </w:pPr>
      <w:r>
        <w:t>Open example 01-semantic-form-relationships/index.html and locate the email label, instruction, attendance group and invalid state. Use fictional values.</w:t>
      </w:r>
    </w:p>
    <w:p>
      <w:pPr>
        <w:pStyle w:val="ListBullet"/>
      </w:pPr>
      <w:r>
        <w:t>Predict which declaration wins in example 02-cascade-layer-order before opening computed styles. Write one sentence explaining the declared scope.</w:t>
      </w:r>
    </w:p>
    <w:p>
      <w:pPr>
        <w:pStyle w:val="ListBullet"/>
      </w:pPr>
      <w:r>
        <w:t>Recall the Week 01 distinction between a claim and its evidence. Bring one example of a result that a screenshot alone cannot establish.</w:t>
      </w:r>
    </w:p>
    <w:p>
      <w:r>
        <w:t>If developer tools or a live demonstration are unavailable, read the source and the supplied C02_OFFLINE_TRACE.json. Mark that evidence as SUPPLIED TRACE or OBSERVED IN SOURCE. It does not establish that you executed the example. You can still state a prediction and the check you would run later.</w:t>
      </w:r>
    </w:p>
    <w:p>
      <w:pPr>
        <w:pStyle w:val="Heading1"/>
      </w:pPr>
      <w:r>
        <w:t>Transfer after Course 02</w:t>
      </w:r>
    </w:p>
    <w:p>
      <w:r>
        <w:t>Allow about 15 to 20 minutes independently. Choose one expense claim control. Describe its initial state, event and resulting state, separating HTML relationships, CSS constraints and JavaScript behaviour. Make a prediction for one canonical example, inspect its source and record the evidence limit. Reading a source line and executing a check are different evidence classes.</w:t>
      </w:r>
    </w:p>
    <w:p>
      <w:pPr>
        <w:pStyle w:val="Heading1"/>
      </w:pPr>
      <w:r>
        <w:t>How the earlier unit labels map</w:t>
      </w:r>
    </w:p>
    <w:p>
      <w:r>
        <w:t>U04 referred to the HTML, CSS and accessibility unit represented here by Week 02 Course 02 and Seminar 02. U02 referred to the JavaScript reading and modification unit that follows in Week 03. The labels describe topics from the earlier organisation. You do not need Node or Express reading to prepare for Course 02; follow the current week navigation for later materials. Week 03 is outside this package and this release scope.</w:t>
      </w:r>
    </w:p>
    <w:p>
      <w:pPr>
        <w:pStyle w:val="Heading1"/>
      </w:pPr>
      <w:r>
        <w:t>Optional AI prompt or offline equivalent</w:t>
      </w:r>
    </w:p>
    <w:p>
      <w:r>
        <w:t>“Explain this supplied fragment without inventing execution. For each claim, identify its source line, classify it as OBSERVED IN SOURCE, INFERRED or UNKNOWN, and propose one check that could falsify it.” Supply only the small public example or fictional text. Keep private code, personal data, tokens and institutional information out of an external service.</w:t>
      </w:r>
    </w:p>
    <w:p>
      <w:r>
        <w:t>Offline equivalent: use DELIBERATELY_FLAWED_LLM_RESPONSE_COURSE_02_v1.1_EN_GB.txt. Select one claim, identify the owning layer and propose the smallest counterexample. Write whether the evidence is supplied, read in source or actually executed. An AI explanation is a hypothesis to verify, not a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02 preparation and transfer</dc:title>
  <dc:subject/>
  <dc:creator>WebTech ASE</dc:creator>
  <cp:keywords/>
  <dc:description/>
  <cp:lastModifiedBy/>
  <cp:revision>1</cp:revision>
  <dcterms:created xsi:type="dcterms:W3CDTF">2013-12-23T23:15:00Z</dcterms:created>
  <dcterms:modified xsi:type="dcterms:W3CDTF">2013-12-23T23:15:00Z</dcterms:modified>
  <cp:category/>
</cp:coreProperties>
</file>