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C10 — Client State and Frontend Architecture</w:t>
      </w:r>
    </w:p>
    <w:p>
      <w:r>
        <w:t xml:space="preserve">RC10 current classroom transfer</w:t>
      </w:r>
    </w:p>
    <w:p>
      <w:r>
        <w:t xml:space="preserve">Current S10 classroom transfer</w:t>
      </w:r>
    </w:p>
    <w:p>
      <w:r>
        <w:t xml:space="preserve">Complete every listed microproject individually in class. These are bounded tasks, not completion of the historical full applications.</w:t>
      </w:r>
    </w:p>
    <w:p>
      <w:r>
        <w:t xml:space="preserve">P01 — Shared state: pure reducer — editable path from the seminar package root: CLASSROOM_RC6/student/p01.mjs</w:t>
      </w:r>
    </w:p>
    <w:p>
      <w:r>
        <w:t xml:space="preserve">P02 — Notifications: latest refresh wins — editable path from the seminar package root: CLASSROOM_RC6/student/p02.mjs</w:t>
      </w:r>
    </w:p>
    <w:p>
      <w:r>
        <w:t xml:space="preserve">P03 — Architecture: capability before cost — editable path from the seminar package root: CLASSROOM_RC6/student/p03.mjs</w:t>
      </w:r>
    </w:p>
    <w:p>
      <w:r>
        <w:t xml:space="preserve">Current entry: ../../../../ENTRY/S10.html</w:t>
      </w:r>
    </w:p>
    <w:p>
      <w:r>
        <w:t xml:space="preserve">Step-by-step tutorial: ../../../../TUTORIALS/S10.html</w:t>
      </w:r>
    </w:p>
    <w:p>
      <w:r>
        <w:t xml:space="preserve">Current evidence form: ../../../S10/WEBTECH_ASE_S10_EN_GB_v1.2.4_RC6/CLASSROOM_RC6/EVIDENCE_FORM.html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Reading contract</w:t>
      </w:r>
    </w:p>
    <w:p>
      <w:pPr>
        <w:keepLines/>
        <w:jc w:val="both"/>
      </w:pPr>
      <w:r>
        <w:rPr>
          <w:rFonts w:ascii="Times New Roman" w:hAnsi="Times New Roman" w:eastAsia="Times New Roman" w:cs="Times New Roman"/>
          <w:b w:val="0"/>
          <w:i w:val="0"/>
          <w:sz w:val="24"/>
        </w:rPr>
        <w:t>Who owns each value, for which consumers and lifetime, and what evidence makes a broader state boundary necessary? Begin with this question, not a preferred library. This handout follows all 34 numbered topics of the canonical Unit 10 lecture. It distinguishes exact source examples, derived explanations and deliberately bounded teaching models. It is not a completed implementation of a seminar project.</w:t>
      </w:r>
    </w:p>
    <w:p>
      <w:pPr>
        <w:keepLines/>
        <w:jc w:val="both"/>
      </w:pPr>
      <w:r>
        <w:rPr>
          <w:rFonts w:ascii="Times New Roman" w:hAnsi="Times New Roman" w:eastAsia="Times New Roman" w:cs="Times New Roman"/>
          <w:b w:val="0"/>
          <w:i w:val="0"/>
          <w:sz w:val="24"/>
        </w:rPr>
        <w:t>The scheduled content ends at minute 60. The other 30 minutes reserved in the timetable are not overflow, hidden installation time or an extra implementation segment. Three retrieval intermezzos sit inside the eight content blocks. Reading depth beyond those blocks is preparation or transfer work, not a claim that everything can be performed during the meeting.</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P01 Shared Workshop State is the full central implementation. P02 Redux Toolkit Notification Center is optional advanced work. P03 contributes a required state Architecture Decision Record (ADR) to the semester project; completing its entire comparator is separate follow-up, not a hidden S10 requirement. C10 creates no additional Moodle Assignment.</w:t>
      </w:r>
    </w:p>
    <w:p>
      <w:pPr>
        <w:keepLines/>
        <w:jc w:val="both"/>
      </w:pPr>
      <w:r>
        <w:rPr>
          <w:rFonts w:ascii="Times New Roman" w:hAnsi="Times New Roman" w:eastAsia="Times New Roman" w:cs="Times New Roman"/>
          <w:b w:val="0"/>
          <w:i w:val="0"/>
          <w:sz w:val="24"/>
        </w:rPr>
        <w:t>The offline lesson and models need no package installation. The React examples are source projects, not applications that work by double-clicking their source HTML. Consult RUN_EXAMPLES.md before any later, separately authorised use of a qualified environment. Historical README validation statements are not fresh results. WIP/PREVIEW does not mean FINAL.</w:t>
      </w:r>
    </w:p>
    <w:p>
      <w:pPr>
        <w:pStyle w:val="Heading1"/>
        <w:keepLines/>
        <w:ind w:firstLine="0"/>
        <w:jc w:val="left"/>
      </w:pPr>
      <w:r>
        <w:rPr>
          <w:rFonts w:ascii="Times New Roman" w:hAnsi="Times New Roman" w:eastAsia="Times New Roman" w:cs="Times New Roman"/>
          <w:b w:val="0"/>
          <w:i w:val="0"/>
          <w:sz w:val="24"/>
        </w:rPr>
        <w:t>How to read the evidence labels</w:t>
      </w:r>
    </w:p>
    <w:p>
      <w:pPr>
        <w:keepLines/>
        <w:jc w:val="both"/>
      </w:pPr>
      <w:r>
        <w:rPr>
          <w:rFonts w:ascii="Times New Roman" w:hAnsi="Times New Roman" w:eastAsia="Times New Roman" w:cs="Times New Roman"/>
          <w:b w:val="0"/>
          <w:i w:val="0"/>
          <w:sz w:val="24"/>
        </w:rPr>
        <w:t>CAN-01 to CAN-34 identify the numbered lecture topics. EX-01 to EX-05 identify the five exact example directories. N-01 to N-10 in SOURCE_NOTES.md identify derived corrections or boundaries. LAB-M01 onwards are finite model scenarios, not React, Redux Toolkit or browser observations. R1 to R4 identify current primary documentation used only for semantic corroboration. The original lecture and retrieval answer keys remain in the teacher package.</w:t>
      </w:r>
    </w:p>
    <w:p>
      <w:pPr>
        <w:pStyle w:val="Heading1"/>
        <w:keepLines/>
        <w:ind w:firstLine="0"/>
        <w:jc w:val="left"/>
      </w:pPr>
      <w:r>
        <w:rPr>
          <w:rFonts w:ascii="Times New Roman" w:hAnsi="Times New Roman" w:eastAsia="Times New Roman" w:cs="Times New Roman"/>
          <w:b w:val="0"/>
          <w:i w:val="0"/>
          <w:sz w:val="24"/>
        </w:rPr>
        <w:t>Qualification boundary</w:t>
      </w:r>
    </w:p>
    <w:p>
      <w:pPr>
        <w:keepLines/>
        <w:jc w:val="both"/>
      </w:pPr>
      <w:r>
        <w:rPr>
          <w:rFonts w:ascii="Times New Roman" w:hAnsi="Times New Roman" w:eastAsia="Times New Roman" w:cs="Times New Roman"/>
          <w:b w:val="0"/>
          <w:i w:val="0"/>
          <w:sz w:val="24"/>
        </w:rPr>
        <w:t>WIP/PREVIEW_NOT_FINAL. Current checks cover source/function/model or DOM stand-ins. They do not execute React, Redux Toolkit, Immer, Vite, Vitest or a browser. The prescribed Node 24.21.0/npm 11.19.0 was neither acquired nor qualified. Historical README statements remain historical. A build, hash, model output and actual UI trace answer different questions.</w:t>
      </w:r>
    </w:p>
    <w:p>
      <w:pPr>
        <w:pStyle w:val="Heading2"/>
        <w:keepLines/>
        <w:pageBreakBefore/>
        <w:ind w:firstLine="0"/>
        <w:jc w:val="left"/>
      </w:pPr>
      <w:r>
        <w:rPr>
          <w:rFonts w:ascii="Times New Roman" w:hAnsi="Times New Roman" w:eastAsia="Times New Roman" w:cs="Times New Roman"/>
          <w:b w:val="0"/>
          <w:i w:val="0"/>
          <w:sz w:val="24"/>
        </w:rPr>
        <w:t>1. Local state is a complete architecture</w:t>
      </w:r>
    </w:p>
    <w:p>
      <w:pPr>
        <w:keepLines/>
        <w:jc w:val="both"/>
      </w:pPr>
      <w:r>
        <w:rPr>
          <w:rFonts w:ascii="Times New Roman" w:hAnsi="Times New Roman" w:eastAsia="Times New Roman" w:cs="Times New Roman"/>
          <w:b w:val="0"/>
          <w:i w:val="0"/>
          <w:sz w:val="24"/>
        </w:rPr>
        <w:t>A draft, disclosure flag or widget tab is not incomplete merely because it uses local state. Record the component responsible for changing it and the lifetime over which it must survive. If one component owns both the interaction and its consumers, a wider store adds coordination without supplying a missing requirement.</w:t>
      </w:r>
    </w:p>
    <w:p>
      <w:pPr>
        <w:keepLines/>
        <w:jc w:val="both"/>
      </w:pPr>
      <w:r>
        <w:rPr>
          <w:rFonts w:ascii="Times New Roman" w:hAnsi="Times New Roman" w:eastAsia="Times New Roman" w:cs="Times New Roman"/>
          <w:b w:val="0"/>
          <w:i w:val="0"/>
          <w:sz w:val="24"/>
        </w:rPr>
        <w:t>In the workshop target, each card owns its disclosure state. A promise that disclosure survives an unrelated shared update is narrower than a promise that it survives the card being removed and mounted again. State the lifetime actually observed. An isolated boolean does not need Redux because the surrounding application is large.</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event ends the lifetime of this value?</w:t>
      </w:r>
    </w:p>
    <w:p>
      <w:pPr>
        <w:keepLines/>
        <w:jc w:val="both"/>
      </w:pPr>
      <w:r>
        <w:rPr>
          <w:rFonts w:ascii="Times New Roman" w:hAnsi="Times New Roman" w:eastAsia="Times New Roman" w:cs="Times New Roman"/>
          <w:b w:val="0"/>
          <w:i/>
          <w:sz w:val="24"/>
        </w:rPr>
        <w:t>Basis: CAN-01;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 Lift only for shared coordination</w:t>
      </w:r>
    </w:p>
    <w:p>
      <w:pPr>
        <w:keepLines/>
        <w:jc w:val="both"/>
      </w:pPr>
      <w:r>
        <w:rPr>
          <w:rFonts w:ascii="Times New Roman" w:hAnsi="Times New Roman" w:eastAsia="Times New Roman" w:cs="Times New Roman"/>
          <w:b w:val="0"/>
          <w:i w:val="0"/>
          <w:sz w:val="24"/>
        </w:rPr>
        <w:t>When sibling consumers must agree, place the authoritative value in their nearest common owner and pass a value down with a callback representing intent. This is a coordination decision, not a ban on props. The owner can derive several views from one value without creating several synchronised copies.</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EX-01 keeps its filter in App and supplies Filter with a value and callback; Count receives the derived visible items. The filter is shared through that common owner. In P01, search is local relative to the shared Context boundary, but its actual owner is WorkshopWorkspace, not the toolbar that renders the input. Preserve that source distinction (N-02).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Name the common owner rather than only the input component.</w:t>
      </w:r>
    </w:p>
    <w:p>
      <w:pPr>
        <w:keepLines/>
        <w:jc w:val="both"/>
      </w:pPr>
      <w:r>
        <w:rPr>
          <w:rFonts w:ascii="Times New Roman" w:hAnsi="Times New Roman" w:eastAsia="Times New Roman" w:cs="Times New Roman"/>
          <w:b w:val="0"/>
          <w:i/>
          <w:sz w:val="24"/>
        </w:rPr>
        <w:t>Basis: CAN-02;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 Prop passing is explicit</w:t>
      </w:r>
    </w:p>
    <w:p>
      <w:pPr>
        <w:keepLines/>
        <w:jc w:val="both"/>
      </w:pPr>
      <w:r>
        <w:rPr>
          <w:rFonts w:ascii="Times New Roman" w:hAnsi="Times New Roman" w:eastAsia="Times New Roman" w:cs="Times New Roman"/>
          <w:b w:val="0"/>
          <w:i w:val="0"/>
          <w:sz w:val="24"/>
        </w:rPr>
        <w:t>Props show where a value enters a component and callbacks expose who may request a change. Passing through several layers can become burdensome when intermediates merely forward contracts. First identify those intermediates and the changes they must carry. Counting files or disliking callback syntax is not evidence of a coordination problem.</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preserved P01 save/count witness is deliberately small. It does not contain a measured deep chain or every behaviour of the workshop target. Compare only its actual shared action, then document the additional target behaviours separately. Context cannot be justified by attributing absent complexity to the comparator (N-02).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comparator actually implement?</w:t>
      </w:r>
    </w:p>
    <w:p>
      <w:pPr>
        <w:keepLines/>
        <w:jc w:val="both"/>
      </w:pPr>
      <w:r>
        <w:rPr>
          <w:rFonts w:ascii="Times New Roman" w:hAnsi="Times New Roman" w:eastAsia="Times New Roman" w:cs="Times New Roman"/>
          <w:b w:val="0"/>
          <w:i/>
          <w:sz w:val="24"/>
        </w:rPr>
        <w:t>Basis: CAN-03;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4. Derived values are not new state</w:t>
      </w:r>
    </w:p>
    <w:p>
      <w:pPr>
        <w:keepLines/>
        <w:jc w:val="both"/>
      </w:pPr>
      <w:r>
        <w:rPr>
          <w:rFonts w:ascii="Times New Roman" w:hAnsi="Times New Roman" w:eastAsia="Times New Roman" w:cs="Times New Roman"/>
          <w:b w:val="0"/>
          <w:i w:val="0"/>
          <w:sz w:val="24"/>
        </w:rPr>
        <w:t>A filtered list, unread count or selected entity is normally a calculation from authoritative inputs. Storing it independently introduces a second value that every relevant transition must keep consistent. Write down the derivation before adding a setter or an effect to synchronise copies.</w:t>
      </w:r>
    </w:p>
    <w:p>
      <w:pPr>
        <w:keepLines/>
        <w:jc w:val="both"/>
      </w:pPr>
      <w:r>
        <w:rPr>
          <w:rFonts w:ascii="Times New Roman" w:hAnsi="Times New Roman" w:eastAsia="Times New Roman" w:cs="Times New Roman"/>
          <w:b w:val="0"/>
          <w:i w:val="0"/>
          <w:sz w:val="24"/>
        </w:rPr>
        <w:t>EX-01 computes visible from tasks and filter, then Count reads visible.length. The count has no independent update operation. In the notification example, read flags belong to entities and the unread count is calculated from them. This is a correctness and ownership argument; it does not establish that a derivation is free or that all selectors need memoisation.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single update would make a copied count stale?</w:t>
      </w:r>
    </w:p>
    <w:p>
      <w:pPr>
        <w:keepLines/>
        <w:jc w:val="both"/>
      </w:pPr>
      <w:r>
        <w:rPr>
          <w:rFonts w:ascii="Times New Roman" w:hAnsi="Times New Roman" w:eastAsia="Times New Roman" w:cs="Times New Roman"/>
          <w:b w:val="0"/>
          <w:i/>
          <w:sz w:val="24"/>
        </w:rPr>
        <w:t>Basis: CAN-04;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5. Server authority remains distinct</w:t>
      </w:r>
    </w:p>
    <w:p>
      <w:pPr>
        <w:keepLines/>
        <w:jc w:val="both"/>
      </w:pPr>
      <w:r>
        <w:rPr>
          <w:rFonts w:ascii="Times New Roman" w:hAnsi="Times New Roman" w:eastAsia="Times New Roman" w:cs="Times New Roman"/>
          <w:b w:val="0"/>
          <w:i w:val="0"/>
          <w:sz w:val="24"/>
        </w:rPr>
        <w:t>Moving a resource representation into Context or Redux changes how client consumers read it; it does not change who confirms the resource. Keep draft, confirmed representation and lifecycle status conceptually separate. A loading flag describes work in progress, not successful persistence.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the supplied U10 P02 demonstration, the injected notifications API operates on an in-memory array. Its confirmation establishes the local adapter contract, not an HTTP response or durable server update. The supplied MemoryRouter also does not demonstrate native address-bar history. A later server integration needs its own evidence rather than a change of label (N-07).</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this authority a real server or the supplied local adapter?</w:t>
      </w:r>
    </w:p>
    <w:p>
      <w:pPr>
        <w:keepLines/>
        <w:jc w:val="both"/>
      </w:pPr>
      <w:r>
        <w:rPr>
          <w:rFonts w:ascii="Times New Roman" w:hAnsi="Times New Roman" w:eastAsia="Times New Roman" w:cs="Times New Roman"/>
          <w:b w:val="0"/>
          <w:i/>
          <w:sz w:val="24"/>
        </w:rPr>
        <w:t>Basis: CAN-05;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6. Worked example — state ownership map</w:t>
      </w:r>
    </w:p>
    <w:p>
      <w:pPr>
        <w:keepLines/>
        <w:jc w:val="both"/>
      </w:pPr>
      <w:r>
        <w:rPr>
          <w:rFonts w:ascii="Times New Roman" w:hAnsi="Times New Roman" w:eastAsia="Times New Roman" w:cs="Times New Roman"/>
          <w:b w:val="0"/>
          <w:i w:val="0"/>
          <w:sz w:val="24"/>
        </w:rPr>
        <w:t>EX-01 displays two tasks, a filter input, a visible count and a list. Predict the count for an empty filter, a matching word and a word absent from both titles. Observe the same filter being passed to the input and used to derive the visible list. There is no independent count state.</w:t>
      </w:r>
    </w:p>
    <w:p>
      <w:pPr>
        <w:keepLines/>
        <w:jc w:val="both"/>
      </w:pPr>
      <w:r>
        <w:rPr>
          <w:rFonts w:ascii="Times New Roman" w:hAnsi="Times New Roman" w:eastAsia="Times New Roman" w:cs="Times New Roman"/>
          <w:b w:val="0"/>
          <w:i w:val="0"/>
          <w:sz w:val="24"/>
        </w:rPr>
        <w:t>Its README mentions a four-row ownership table, but that table is not in the supplied JSX. The four-row inventory in this handout is derived teaching material, not a claimed screenshot of the application. Preserve the exact source and record any actual run separately. LAB-M01/M02 reproduce filtering logic as plain JavaScript, not a mounted React tree (N-01).</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a source description and its actual UI differ without a build failure?</w:t>
      </w:r>
    </w:p>
    <w:p>
      <w:pPr>
        <w:keepLines/>
        <w:jc w:val="both"/>
      </w:pPr>
      <w:r>
        <w:rPr>
          <w:rFonts w:ascii="Times New Roman" w:hAnsi="Times New Roman" w:eastAsia="Times New Roman" w:cs="Times New Roman"/>
          <w:b w:val="0"/>
          <w:i/>
          <w:sz w:val="24"/>
        </w:rPr>
        <w:t>Basis: CAN-06;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7. Reducers name transitions</w:t>
      </w:r>
    </w:p>
    <w:p>
      <w:pPr>
        <w:keepLines/>
        <w:jc w:val="both"/>
      </w:pPr>
      <w:r>
        <w:rPr>
          <w:rFonts w:ascii="Times New Roman" w:hAnsi="Times New Roman" w:eastAsia="Times New Roman" w:cs="Times New Roman"/>
          <w:b w:val="0"/>
          <w:i w:val="0"/>
          <w:sz w:val="24"/>
        </w:rPr>
        <w:t>A reducer expresses next state as a function of previous state and an event. Use one when related transitions and invariants benefit from a single inspectable boundary. The source contract requires pure transitions: do not mutate the incoming state or generate external effects inside the reducer.</w:t>
      </w:r>
    </w:p>
    <w:p>
      <w:pPr>
        <w:keepLines/>
        <w:jc w:val="both"/>
      </w:pPr>
      <w:r>
        <w:rPr>
          <w:rFonts w:ascii="Times New Roman" w:hAnsi="Times New Roman" w:eastAsia="Times New Roman" w:cs="Times New Roman"/>
          <w:b w:val="0"/>
          <w:i w:val="0"/>
          <w:sz w:val="24"/>
        </w:rPr>
        <w:t xml:space="preserve">Before executing a transition, record before/event/after and the fields that must remain unchanged. A frozen-input check can expose mutation in a plain-function test. It does not prove that a React component mounted correctly. Returning the same reference for a genuine no-op can itself be part of the contract; do not allocate merely to make a log look different.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invariant spans more than one event?</w:t>
      </w:r>
    </w:p>
    <w:p>
      <w:pPr>
        <w:keepLines/>
        <w:jc w:val="both"/>
      </w:pPr>
      <w:r>
        <w:rPr>
          <w:rFonts w:ascii="Times New Roman" w:hAnsi="Times New Roman" w:eastAsia="Times New Roman" w:cs="Times New Roman"/>
          <w:b w:val="0"/>
          <w:i/>
          <w:sz w:val="24"/>
        </w:rPr>
        <w:t>Basis: CAN-07;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8. Events describe domain intent</w:t>
      </w:r>
    </w:p>
    <w:p>
      <w:pPr>
        <w:keepLines/>
        <w:jc w:val="both"/>
      </w:pPr>
      <w:r>
        <w:rPr>
          <w:rFonts w:ascii="Times New Roman" w:hAnsi="Times New Roman" w:eastAsia="Times New Roman" w:cs="Times New Roman"/>
          <w:b w:val="0"/>
          <w:i w:val="0"/>
          <w:sz w:val="24"/>
        </w:rPr>
        <w:t>An event such as session/toggled names a user intention rather than exposing arbitrary assignments to callers. A focused vocabulary makes unsupported event types visible and prevents generated typos being silently accepted. Error wording should be stable enough to identify the specific contract failure.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Do not confuse seed normalisation with event deduplication. Removing repeated saved IDs from an initial array is different from rejecting duplicate event deliveries. Two deliberate toggles of the same ID reverse one another; the supplied P01 contract has no event-ID ledger. Values outside the canonical UI are labelled boundary cases, not automatically new student obligations (N-04).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Are these duplicate values or two actual events?</w:t>
      </w:r>
    </w:p>
    <w:p>
      <w:pPr>
        <w:keepLines/>
        <w:jc w:val="both"/>
      </w:pPr>
      <w:r>
        <w:rPr>
          <w:rFonts w:ascii="Times New Roman" w:hAnsi="Times New Roman" w:eastAsia="Times New Roman" w:cs="Times New Roman"/>
          <w:b w:val="0"/>
          <w:i/>
          <w:sz w:val="24"/>
        </w:rPr>
        <w:t>Basis: CAN-08;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9. useReducer does not create global state</w:t>
      </w:r>
    </w:p>
    <w:p>
      <w:pPr>
        <w:keepLines/>
        <w:jc w:val="both"/>
      </w:pPr>
      <w:r>
        <w:rPr>
          <w:rFonts w:ascii="Times New Roman" w:hAnsi="Times New Roman" w:eastAsia="Times New Roman" w:cs="Times New Roman"/>
          <w:b w:val="0"/>
          <w:i w:val="0"/>
          <w:sz w:val="24"/>
        </w:rPr>
        <w:t>useReducer changes the transition interface, not the owning component. The component or provider that calls it still owns the state value. A reducer function may be shared as code without sharing one mutable state instance among all callers.</w:t>
      </w:r>
    </w:p>
    <w:p>
      <w:pPr>
        <w:keepLines/>
        <w:jc w:val="both"/>
      </w:pPr>
      <w:r>
        <w:rPr>
          <w:rFonts w:ascii="Times New Roman" w:hAnsi="Times New Roman" w:eastAsia="Times New Roman" w:cs="Times New Roman"/>
          <w:b w:val="0"/>
          <w:i w:val="0"/>
          <w:sz w:val="24"/>
        </w:rPr>
        <w:t xml:space="preserve">React documents a stable dispatch identity. This is not a guarantee that consumers never render. A caller that reads state still needs updates when the relevant value changes. Keep hook semantics, pure-function probes and render-count measurements separate. This course does not claim an actual StrictMode run or mounted provider test from its plain JavaScript models.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 R2]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Where is the owning hook called?</w:t>
      </w:r>
    </w:p>
    <w:p>
      <w:pPr>
        <w:keepLines/>
        <w:jc w:val="both"/>
      </w:pPr>
      <w:r>
        <w:rPr>
          <w:rFonts w:ascii="Times New Roman" w:hAnsi="Times New Roman" w:eastAsia="Times New Roman" w:cs="Times New Roman"/>
          <w:b w:val="0"/>
          <w:i/>
          <w:sz w:val="24"/>
        </w:rPr>
        <w:t>Basis: CAN-09;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10. Worked example — reducer event trace</w:t>
      </w:r>
    </w:p>
    <w:p>
      <w:pPr>
        <w:keepLines/>
        <w:jc w:val="both"/>
      </w:pPr>
      <w:r>
        <w:rPr>
          <w:rFonts w:ascii="Times New Roman" w:hAnsi="Times New Roman" w:eastAsia="Times New Roman" w:cs="Times New Roman"/>
          <w:b w:val="0"/>
          <w:i w:val="0"/>
          <w:sz w:val="24"/>
        </w:rPr>
        <w:t>EX-02 starts with enabled:false and seats:1. Its two events toggle enabled and increment seats. Predict a toggle followed by an increment: the expected state is enabled:true and seats:2, while the original snapshot remains unchanged. An unsupported type throws an error naming that event.</w:t>
      </w:r>
    </w:p>
    <w:p>
      <w:pPr>
        <w:keepLines/>
        <w:jc w:val="both"/>
      </w:pPr>
      <w:r>
        <w:rPr>
          <w:rFonts w:ascii="Times New Roman" w:hAnsi="Times New Roman" w:eastAsia="Times New Roman" w:cs="Times New Roman"/>
          <w:b w:val="0"/>
          <w:i w:val="0"/>
          <w:sz w:val="24"/>
        </w:rPr>
        <w:t>LAB-M03/M04 use this small lecture domain rather than implementing the assessed workshop provider. A direct function trace can test values and mutation boundaries. To claim that clicking the rendered controls produced the same result, a separate actual React observation is required. The README’s earlier build/browser statement remains historical, not a new test log.</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a reducer trace establish that a screenshot alone does not?</w:t>
      </w:r>
    </w:p>
    <w:p>
      <w:pPr>
        <w:keepLines/>
        <w:jc w:val="both"/>
      </w:pPr>
      <w:r>
        <w:rPr>
          <w:rFonts w:ascii="Times New Roman" w:hAnsi="Times New Roman" w:eastAsia="Times New Roman" w:cs="Times New Roman"/>
          <w:b w:val="0"/>
          <w:i/>
          <w:sz w:val="24"/>
        </w:rPr>
        <w:t>Basis: CAN-10;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11. Context solves tree access</w:t>
      </w:r>
    </w:p>
    <w:p>
      <w:pPr>
        <w:keepLines/>
        <w:jc w:val="both"/>
      </w:pPr>
      <w:r>
        <w:rPr>
          <w:rFonts w:ascii="Times New Roman" w:hAnsi="Times New Roman" w:eastAsia="Times New Roman" w:cs="Times New Roman"/>
          <w:b w:val="0"/>
          <w:i w:val="0"/>
          <w:sz w:val="24"/>
        </w:rPr>
        <w:t>Context lets descendants read a provided value without forwarding it through every intermediate component. It is a delivery mechanism for a value within a tree, not an automatic design for caching, persistence, asynchronous lifecycle or normalised entities.</w:t>
      </w:r>
    </w:p>
    <w:p>
      <w:pPr>
        <w:keepLines/>
        <w:jc w:val="both"/>
      </w:pPr>
      <w:r>
        <w:rPr>
          <w:rFonts w:ascii="Times New Roman" w:hAnsi="Times New Roman" w:eastAsia="Times New Roman" w:cs="Times New Roman"/>
          <w:b w:val="0"/>
          <w:i w:val="0"/>
          <w:sz w:val="24"/>
        </w:rPr>
        <w:t xml:space="preserve">Specify the provider’s scope before choosing Context. Consumers read the appropriate nearest provider, while consumers of a changing value subscribe to that context. Replacing props with a single overly broad value can change the update boundary without clarifying ownership. Describe which value changes and which consumers need it; do not report a performance gain without measuring the intended workload.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problem does Context solve here, and which does it leave unsolved?</w:t>
      </w:r>
    </w:p>
    <w:p>
      <w:pPr>
        <w:keepLines/>
        <w:jc w:val="both"/>
      </w:pPr>
      <w:r>
        <w:rPr>
          <w:rFonts w:ascii="Times New Roman" w:hAnsi="Times New Roman" w:eastAsia="Times New Roman" w:cs="Times New Roman"/>
          <w:b w:val="0"/>
          <w:i/>
          <w:sz w:val="24"/>
        </w:rPr>
        <w:t>Basis: CAN-11;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12. Providers own state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A useful boundary may combine a provider, pure reducer, state context, dispatch context and guarded hooks. In P01 the shared domain is only track and savedIds. Search, derived counts and card disclosure remain outside it. That is a scope rule, not a request to replace all local controls.</w:t>
      </w:r>
    </w:p>
    <w:p>
      <w:pPr>
        <w:keepLines/>
        <w:jc w:val="both"/>
      </w:pPr>
      <w:r>
        <w:rPr>
          <w:rFonts w:ascii="Times New Roman" w:hAnsi="Times New Roman" w:eastAsia="Times New Roman" w:cs="Times New Roman"/>
          <w:b w:val="0"/>
          <w:i w:val="0"/>
          <w:sz w:val="24"/>
        </w:rPr>
        <w:t>The canonical comment about separate contexts reverses the beneficiary: dispatch-only consumers need not subscribe to the changing state context. It does not protect state readers from necessary state updates or eliminate parent-driven renders. The derived note corrects the explanation without changing the assessed provider source or supplying its implementation (N-03).</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this consumer read state, dispatch intent or both?</w:t>
      </w:r>
    </w:p>
    <w:p>
      <w:pPr>
        <w:keepLines/>
        <w:jc w:val="both"/>
      </w:pPr>
      <w:r>
        <w:rPr>
          <w:rFonts w:ascii="Times New Roman" w:hAnsi="Times New Roman" w:eastAsia="Times New Roman" w:cs="Times New Roman"/>
          <w:b w:val="0"/>
          <w:i/>
          <w:sz w:val="24"/>
        </w:rPr>
        <w:t>Basis: CAN-12;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13. Provider instances must be isolated</w:t>
      </w:r>
    </w:p>
    <w:p>
      <w:pPr>
        <w:keepLines/>
        <w:jc w:val="both"/>
      </w:pPr>
      <w:r>
        <w:rPr>
          <w:rFonts w:ascii="Times New Roman" w:hAnsi="Times New Roman" w:eastAsia="Times New Roman" w:cs="Times New Roman"/>
          <w:b w:val="0"/>
          <w:i w:val="0"/>
          <w:sz w:val="24"/>
        </w:rPr>
        <w:t>Two independent provider instances must not inadvertently share one mutable value. The same reducer code can operate on two different initial states. Cloning nested seed arrays prevents one owner’s updates from aliasing another’s mutable data. These are distinct checks: pure initialisation, pure transition and actual mounted isolation.</w:t>
      </w:r>
    </w:p>
    <w:p>
      <w:pPr>
        <w:keepLines/>
        <w:jc w:val="both"/>
      </w:pPr>
      <w:r>
        <w:rPr>
          <w:rFonts w:ascii="Times New Roman" w:hAnsi="Times New Roman" w:eastAsia="Times New Roman" w:cs="Times New Roman"/>
          <w:b w:val="0"/>
          <w:i w:val="0"/>
          <w:sz w:val="24"/>
        </w:rPr>
        <w:t>An unchanged immutable constant is not, by its name alone, a global-state defect. Identify a write and the reference it reaches. Likewise, two fresh arrays produced by a helper do not establish isolation of two mounted React trees. The private qualification plan retains that separate observation instead of inferring it from a hash or a normalisation test.</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shared mutable reference would couple the two owners?</w:t>
      </w:r>
    </w:p>
    <w:p>
      <w:pPr>
        <w:keepLines/>
        <w:jc w:val="both"/>
      </w:pPr>
      <w:r>
        <w:rPr>
          <w:rFonts w:ascii="Times New Roman" w:hAnsi="Times New Roman" w:eastAsia="Times New Roman" w:cs="Times New Roman"/>
          <w:b w:val="0"/>
          <w:i/>
          <w:sz w:val="24"/>
        </w:rPr>
        <w:t>Basis: CAN-13;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14. Worked example — provider isolation</w:t>
      </w:r>
    </w:p>
    <w:p>
      <w:pPr>
        <w:keepLines/>
        <w:jc w:val="both"/>
      </w:pPr>
      <w:r>
        <w:rPr>
          <w:rFonts w:ascii="Times New Roman" w:hAnsi="Times New Roman" w:eastAsia="Times New Roman" w:cs="Times New Roman"/>
          <w:b w:val="0"/>
          <w:i w:val="0"/>
          <w:sz w:val="24"/>
        </w:rPr>
        <w:t>EX-03 supplies CounterProvider twice, with Left tree and Right tree labels. Each provider calls useState and supplies its own increment function. The intended actual observation is that a left-side click changes the left count while the right count remains unchanged.</w:t>
      </w:r>
    </w:p>
    <w:p>
      <w:pPr>
        <w:keepLines/>
        <w:jc w:val="both"/>
      </w:pPr>
      <w:r>
        <w:rPr>
          <w:rFonts w:ascii="Times New Roman" w:hAnsi="Times New Roman" w:eastAsia="Times New Roman" w:cs="Times New Roman"/>
          <w:b w:val="0"/>
          <w:i w:val="0"/>
          <w:sz w:val="24"/>
        </w:rPr>
        <w:t>The offline companion uses two independent plain counter values to explain that invariant. It does not mount CounterProvider, execute useContext or count React renders. Keep the predicted pair, the actual observation when available and the model trace as separate records. A missing qualified runtime is NOT_EXECUTED, not an expected learner assertion failure.</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additional witness is needed beyond two independent JavaScript objects?</w:t>
      </w:r>
    </w:p>
    <w:p>
      <w:pPr>
        <w:keepLines/>
        <w:jc w:val="both"/>
      </w:pPr>
      <w:r>
        <w:rPr>
          <w:rFonts w:ascii="Times New Roman" w:hAnsi="Times New Roman" w:eastAsia="Times New Roman" w:cs="Times New Roman"/>
          <w:b w:val="0"/>
          <w:i/>
          <w:sz w:val="24"/>
        </w:rPr>
        <w:t>Basis: CAN-14;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15. Centralisation must solve a coordination problem</w:t>
      </w:r>
    </w:p>
    <w:p>
      <w:pPr>
        <w:keepLines/>
        <w:jc w:val="both"/>
      </w:pPr>
      <w:r>
        <w:rPr>
          <w:rFonts w:ascii="Times New Roman" w:hAnsi="Times New Roman" w:eastAsia="Times New Roman" w:cs="Times New Roman"/>
          <w:b w:val="0"/>
          <w:i w:val="0"/>
          <w:sz w:val="24"/>
        </w:rPr>
        <w:t>Consider a wider application-state boundary when real consumers and transitions require it: entities shared across routes, a longer lifetime, coordinated asynchronous work or inspectable events. Record which of these requirements is present rather than using a library name as the requirement itself.</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 is optional advanced work because its notification domain illustrates these pressures. It is not the default solution for P01 and not a hidden marking condition. The required ADR may conclude that a smaller owner remains eligible. Explain the cost of broadening a boundary and what evidence would justify changing that decision later.</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requirement cannot the smaller owner satisfy?</w:t>
      </w:r>
    </w:p>
    <w:p>
      <w:pPr>
        <w:keepLines/>
        <w:jc w:val="both"/>
      </w:pPr>
      <w:r>
        <w:rPr>
          <w:rFonts w:ascii="Times New Roman" w:hAnsi="Times New Roman" w:eastAsia="Times New Roman" w:cs="Times New Roman"/>
          <w:b w:val="0"/>
          <w:i/>
          <w:sz w:val="24"/>
        </w:rPr>
        <w:t>Basis: CAN-15;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16. Application size is not a criterion</w:t>
      </w:r>
    </w:p>
    <w:p>
      <w:pPr>
        <w:keepLines/>
        <w:jc w:val="both"/>
      </w:pPr>
      <w:r>
        <w:rPr>
          <w:rFonts w:ascii="Times New Roman" w:hAnsi="Times New Roman" w:eastAsia="Times New Roman" w:cs="Times New Roman"/>
          <w:b w:val="0"/>
          <w:i w:val="0"/>
          <w:sz w:val="24"/>
        </w:rPr>
        <w:t>A large application can contain a small isolated draft, while a compact feature can have demanding cross-route coordination. Counts of components, CSS files or dependencies do not locate ownership. Evaluate each domain rather than promoting every value together.</w:t>
      </w:r>
    </w:p>
    <w:p>
      <w:pPr>
        <w:keepLines/>
        <w:jc w:val="both"/>
      </w:pPr>
      <w:r>
        <w:rPr>
          <w:rFonts w:ascii="Times New Roman" w:hAnsi="Times New Roman" w:eastAsia="Times New Roman" w:cs="Times New Roman"/>
          <w:b w:val="0"/>
          <w:i w:val="0"/>
          <w:sz w:val="24"/>
        </w:rPr>
        <w:t>A route identifier already owned by the URL should not acquire an independently synchronised store copy merely because Redux is available. Likewise a card’s disclosure need not live for the application lifetime. State the owner and lifetime separately for each value, then choose the smallest boundary that satisfies all of its actual consumers. This is a design method, not a universal ban on stores.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Would this value need a different owner if the app had fewer files?</w:t>
      </w:r>
    </w:p>
    <w:p>
      <w:pPr>
        <w:keepLines/>
        <w:jc w:val="both"/>
      </w:pPr>
      <w:r>
        <w:rPr>
          <w:rFonts w:ascii="Times New Roman" w:hAnsi="Times New Roman" w:eastAsia="Times New Roman" w:cs="Times New Roman"/>
          <w:b w:val="0"/>
          <w:i/>
          <w:sz w:val="24"/>
        </w:rPr>
        <w:t>Basis: CAN-16;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17. Redux uses one directional flow</w:t>
      </w:r>
    </w:p>
    <w:p>
      <w:pPr>
        <w:keepLines/>
        <w:jc w:val="both"/>
      </w:pPr>
      <w:r>
        <w:rPr>
          <w:rFonts w:ascii="Times New Roman" w:hAnsi="Times New Roman" w:eastAsia="Times New Roman" w:cs="Times New Roman"/>
          <w:b w:val="0"/>
          <w:i w:val="0"/>
          <w:sz w:val="24"/>
        </w:rPr>
        <w:t>The course models a directional path: UI dispatches an event or thunk, reducers publish store state, selectors derive read views and subscribed UI renders. Keep the distinction between requesting work and publishing a confirmed result visible.</w:t>
      </w:r>
    </w:p>
    <w:p>
      <w:pPr>
        <w:keepLines/>
        <w:jc w:val="both"/>
      </w:pPr>
      <w:r>
        <w:rPr>
          <w:rFonts w:ascii="Times New Roman" w:hAnsi="Times New Roman" w:eastAsia="Times New Roman" w:cs="Times New Roman"/>
          <w:b w:val="0"/>
          <w:i w:val="0"/>
          <w:sz w:val="24"/>
        </w:rPr>
        <w:t>This flow does not make asynchronous work sequential by default. An older request can settle later, and reducers still need a policy for accepting its result. A diagram or reducer callback trace verifies neither middleware scheduling nor React Redux subscription behaviour. Use a named action sequence when discussing a race, rather than treating the final checkbox as a complete causal explanation.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stage decides whether a result may still publish?</w:t>
      </w:r>
    </w:p>
    <w:p>
      <w:pPr>
        <w:keepLines/>
        <w:jc w:val="both"/>
      </w:pPr>
      <w:r>
        <w:rPr>
          <w:rFonts w:ascii="Times New Roman" w:hAnsi="Times New Roman" w:eastAsia="Times New Roman" w:cs="Times New Roman"/>
          <w:b w:val="0"/>
          <w:i/>
          <w:sz w:val="24"/>
        </w:rPr>
        <w:t>Basis: CAN-17;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18. Redux Toolkit is the course baseline for Redux</w:t>
      </w:r>
    </w:p>
    <w:p>
      <w:pPr>
        <w:keepLines/>
        <w:jc w:val="both"/>
      </w:pPr>
      <w:r>
        <w:rPr>
          <w:rFonts w:ascii="Times New Roman" w:hAnsi="Times New Roman" w:eastAsia="Times New Roman" w:cs="Times New Roman"/>
          <w:b w:val="0"/>
          <w:i w:val="0"/>
          <w:sz w:val="24"/>
        </w:rPr>
        <w:t>The canonical lecture selects configureStore, createSlice, createAsyncThunk and createEntityAdapter for its Redux examples. These APIs have different responsibilities: store construction, domain transitions, asynchronous lifecycle actions and entity operations. Dependency presence alone is not a reason to move a domain into Redux.</w:t>
      </w:r>
    </w:p>
    <w:p>
      <w:pPr>
        <w:keepLines/>
        <w:jc w:val="both"/>
      </w:pPr>
      <w:r>
        <w:rPr>
          <w:rFonts w:ascii="Times New Roman" w:hAnsi="Times New Roman" w:eastAsia="Times New Roman" w:cs="Times New Roman"/>
          <w:b w:val="0"/>
          <w:i w:val="0"/>
          <w:sz w:val="24"/>
        </w:rPr>
        <w:t>The example package.json and lockfile are copied exactly. This phase neither installs them nor certifies the availability of their pinned versions. Review API semantics using the separately listed documentation, but do not silently update the source when a documentation page describes a newer release. The optional seminar slice remains outside the complete public course solution.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API belongs to which responsibility?</w:t>
      </w:r>
    </w:p>
    <w:p>
      <w:pPr>
        <w:keepLines/>
        <w:jc w:val="both"/>
      </w:pPr>
      <w:r>
        <w:rPr>
          <w:rFonts w:ascii="Times New Roman" w:hAnsi="Times New Roman" w:eastAsia="Times New Roman" w:cs="Times New Roman"/>
          <w:b w:val="0"/>
          <w:i/>
          <w:sz w:val="24"/>
        </w:rPr>
        <w:t>Basis: CAN-18;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19. Slice reducers own domain transitions</w:t>
      </w:r>
    </w:p>
    <w:p>
      <w:pPr>
        <w:keepLines/>
        <w:jc w:val="both"/>
      </w:pPr>
      <w:r>
        <w:rPr>
          <w:rFonts w:ascii="Times New Roman" w:hAnsi="Times New Roman" w:eastAsia="Times New Roman" w:cs="Times New Roman"/>
          <w:b w:val="0"/>
          <w:i w:val="0"/>
          <w:sz w:val="24"/>
        </w:rPr>
        <w:t>A slice owns domain transitions and the state needed to interpret them. Keep raw protocol paths and status-code interpretation in an adapter, and JSX and local interaction in presentation components. Named actions expose what happened without requiring the reducer to know every UI widget.</w:t>
      </w:r>
    </w:p>
    <w:p>
      <w:pPr>
        <w:keepLines/>
        <w:jc w:val="both"/>
      </w:pPr>
      <w:r>
        <w:rPr>
          <w:rFonts w:ascii="Times New Roman" w:hAnsi="Times New Roman" w:eastAsia="Times New Roman" w:cs="Times New Roman"/>
          <w:b w:val="0"/>
          <w:i w:val="0"/>
          <w:sz w:val="24"/>
        </w:rPr>
        <w:t>Immer-backed reducer syntax can look mutating while producing immutable results in the actual library. A plain-object substitute used by a local probe is not Immer and cannot establish that behaviour. Tests of captured callbacks are labelled accordingly. They can expose the acceptance policy for a payload, but cannot certify draft semantics, middleware or selector memoisation.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this statement about the callback logic or the actual library runtime?</w:t>
      </w:r>
    </w:p>
    <w:p>
      <w:pPr>
        <w:keepLines/>
        <w:jc w:val="both"/>
      </w:pPr>
      <w:r>
        <w:rPr>
          <w:rFonts w:ascii="Times New Roman" w:hAnsi="Times New Roman" w:eastAsia="Times New Roman" w:cs="Times New Roman"/>
          <w:b w:val="0"/>
          <w:i/>
          <w:sz w:val="24"/>
        </w:rPr>
        <w:t>Basis: CAN-19;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20. Normalisation separates identity from views</w:t>
      </w:r>
    </w:p>
    <w:p>
      <w:pPr>
        <w:keepLines/>
        <w:jc w:val="both"/>
      </w:pPr>
      <w:r>
        <w:rPr>
          <w:rFonts w:ascii="Times New Roman" w:hAnsi="Times New Roman" w:eastAsia="Times New Roman" w:cs="Times New Roman"/>
          <w:b w:val="0"/>
          <w:i w:val="0"/>
          <w:sz w:val="24"/>
        </w:rPr>
        <w:t>An ids array and an entities lookup let several readers address one resource identity. An update by ID can then affect multiple derived views without separately updating several copied lists. Record the entity ID independently of any request ID used to order asynchronous work.</w:t>
      </w:r>
    </w:p>
    <w:p>
      <w:pPr>
        <w:keepLines/>
        <w:jc w:val="both"/>
      </w:pPr>
      <w:r>
        <w:rPr>
          <w:rFonts w:ascii="Times New Roman" w:hAnsi="Times New Roman" w:eastAsia="Times New Roman" w:cs="Times New Roman"/>
          <w:b w:val="0"/>
          <w:i w:val="0"/>
          <w:sz w:val="24"/>
        </w:rPr>
        <w:t xml:space="preserve">With a configured sortComparer, the adapter maintains order in ids through its operations. The store therefore does represent that ordered identity sequence; selectAll follows it. The unread count is a separate derivation from entity fields. Do not repeat the original README’s claim that storage is unrelated to display order in this configured example (N-05).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array orders the entities returned by selectAll?</w:t>
      </w:r>
    </w:p>
    <w:p>
      <w:pPr>
        <w:keepLines/>
        <w:jc w:val="both"/>
      </w:pPr>
      <w:r>
        <w:rPr>
          <w:rFonts w:ascii="Times New Roman" w:hAnsi="Times New Roman" w:eastAsia="Times New Roman" w:cs="Times New Roman"/>
          <w:b w:val="0"/>
          <w:i/>
          <w:sz w:val="24"/>
        </w:rPr>
        <w:t>Basis: CAN-20;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21. Normalisation is not mandatory</w:t>
      </w:r>
    </w:p>
    <w:p>
      <w:pPr>
        <w:keepLines/>
        <w:jc w:val="both"/>
      </w:pPr>
      <w:r>
        <w:rPr>
          <w:rFonts w:ascii="Times New Roman" w:hAnsi="Times New Roman" w:eastAsia="Times New Roman" w:cs="Times New Roman"/>
          <w:b w:val="0"/>
          <w:i w:val="0"/>
          <w:sz w:val="24"/>
        </w:rPr>
        <w:t>A tiny array read in one place may be clearer than maintaining separate IDs and an entity map. Normalisation is justified by identity and coordination requirements, not by a rule that every collection must have a store shape.</w:t>
      </w:r>
    </w:p>
    <w:p>
      <w:pPr>
        <w:keepLines/>
        <w:jc w:val="both"/>
      </w:pPr>
      <w:r>
        <w:rPr>
          <w:rFonts w:ascii="Times New Roman" w:hAnsi="Times New Roman" w:eastAsia="Times New Roman" w:cs="Times New Roman"/>
          <w:b w:val="0"/>
          <w:i w:val="0"/>
          <w:sz w:val="24"/>
        </w:rPr>
        <w:t>Compare alternatives on the same behaviour. If one implementation omits updates or consumers, its shorter code does not make it a valid simpler candidate. Conversely, choosing an array for a small domain does not mean identity stops mattering. Stable IDs and well-defined updates remain useful even when the representation is not normalised.</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repeated coordination does the normalised form remove here?</w:t>
      </w:r>
    </w:p>
    <w:p>
      <w:pPr>
        <w:keepLines/>
        <w:jc w:val="both"/>
      </w:pPr>
      <w:r>
        <w:rPr>
          <w:rFonts w:ascii="Times New Roman" w:hAnsi="Times New Roman" w:eastAsia="Times New Roman" w:cs="Times New Roman"/>
          <w:b w:val="0"/>
          <w:i/>
          <w:sz w:val="24"/>
        </w:rPr>
        <w:t>Basis: CAN-21;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22. Selectors are the read boundary</w:t>
      </w:r>
    </w:p>
    <w:p>
      <w:pPr>
        <w:keepLines/>
        <w:jc w:val="both"/>
      </w:pPr>
      <w:r>
        <w:rPr>
          <w:rFonts w:ascii="Times New Roman" w:hAnsi="Times New Roman" w:eastAsia="Times New Roman" w:cs="Times New Roman"/>
          <w:b w:val="0"/>
          <w:i w:val="0"/>
          <w:sz w:val="24"/>
        </w:rPr>
        <w:t>A selector derives a view from authoritative store values: a count, filtered subset or entity for an ID. It should not mutate the state while reading or interpret raw HTTP responses. Presentation consumes the domain-shaped result.</w:t>
      </w:r>
    </w:p>
    <w:p>
      <w:pPr>
        <w:keepLines/>
        <w:jc w:val="both"/>
      </w:pPr>
      <w:r>
        <w:rPr>
          <w:rFonts w:ascii="Times New Roman" w:hAnsi="Times New Roman" w:eastAsia="Times New Roman" w:cs="Times New Roman"/>
          <w:b w:val="0"/>
          <w:i w:val="0"/>
          <w:sz w:val="24"/>
        </w:rPr>
        <w:t>Distinguish the generated selectAll that follows adapter-maintained ids from a selector that explicitly sorts a fresh projection. In EX-04 unread is derived with a filter over selected notifications; it is not stored as a second count to synchronise. Any memoisation or reference-stability claim needs its own evidence. A plain helper returning the right count cannot certify React Redux subscriptions.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Where does the view’s order actually come from?</w:t>
      </w:r>
    </w:p>
    <w:p>
      <w:pPr>
        <w:keepLines/>
        <w:jc w:val="both"/>
      </w:pPr>
      <w:r>
        <w:rPr>
          <w:rFonts w:ascii="Times New Roman" w:hAnsi="Times New Roman" w:eastAsia="Times New Roman" w:cs="Times New Roman"/>
          <w:b w:val="0"/>
          <w:i/>
          <w:sz w:val="24"/>
        </w:rPr>
        <w:t>Basis: CAN-22;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23. Worked example — normalised state and selectors</w:t>
      </w:r>
    </w:p>
    <w:p>
      <w:pPr>
        <w:keepLines/>
        <w:jc w:val="both"/>
      </w:pPr>
      <w:r>
        <w:rPr>
          <w:rFonts w:ascii="Times New Roman" w:hAnsi="Times New Roman" w:eastAsia="Times New Roman" w:cs="Times New Roman"/>
          <w:b w:val="0"/>
          <w:i w:val="0"/>
          <w:sz w:val="24"/>
        </w:rPr>
        <w:t>EX-04 supplies n1 dated 2026-09-01 and n2 dated 2026-09-02. The descending date comparison puts n2 before n1 in ids. Both start unread, giving count 2. Marking n2 read leaves the ordering unchanged and derives count 1.</w:t>
      </w:r>
    </w:p>
    <w:p>
      <w:pPr>
        <w:keepLines/>
        <w:jc w:val="both"/>
      </w:pPr>
      <w:r>
        <w:rPr>
          <w:rFonts w:ascii="Times New Roman" w:hAnsi="Times New Roman" w:eastAsia="Times New Roman" w:cs="Times New Roman"/>
          <w:b w:val="0"/>
          <w:i w:val="0"/>
          <w:sz w:val="24"/>
        </w:rPr>
        <w:t>These are fixture-specific predictions. LAB-M07/M08 calculate the same small value relationships with plain JavaScript; they do not run createEntityAdapter or Immer. The exact JSX source retains the original spelling and configuration, while this handout uses British prose and the corrected description of ordering. An unfamiliar or missing ID is outside this particular button-path prediction (N-05).</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changing read require changing the date ordering?</w:t>
      </w:r>
    </w:p>
    <w:p>
      <w:pPr>
        <w:keepLines/>
        <w:jc w:val="both"/>
      </w:pPr>
      <w:r>
        <w:rPr>
          <w:rFonts w:ascii="Times New Roman" w:hAnsi="Times New Roman" w:eastAsia="Times New Roman" w:cs="Times New Roman"/>
          <w:b w:val="0"/>
          <w:i/>
          <w:sz w:val="24"/>
        </w:rPr>
        <w:t>Basis: CAN-23;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24. Memoise for evidence-based reasons</w:t>
      </w:r>
    </w:p>
    <w:p>
      <w:pPr>
        <w:keepLines/>
        <w:jc w:val="both"/>
      </w:pPr>
      <w:r>
        <w:rPr>
          <w:rFonts w:ascii="Times New Roman" w:hAnsi="Times New Roman" w:eastAsia="Times New Roman" w:cs="Times New Roman"/>
          <w:b w:val="0"/>
          <w:i w:val="0"/>
          <w:sz w:val="24"/>
        </w:rPr>
        <w:t>Memoisation can be useful when a derivation is expensive or a consumer requires stable references. It is not automatically required for every primitive count. First specify the workload, computation and observation that make the extra mechanism worthwhile.</w:t>
      </w:r>
    </w:p>
    <w:p>
      <w:pPr>
        <w:keepLines/>
        <w:jc w:val="both"/>
      </w:pPr>
      <w:r>
        <w:rPr>
          <w:rFonts w:ascii="Times New Roman" w:hAnsi="Times New Roman" w:eastAsia="Times New Roman" w:cs="Times New Roman"/>
          <w:b w:val="0"/>
          <w:i w:val="0"/>
          <w:sz w:val="24"/>
        </w:rPr>
        <w:t>A render count is not a performance measurement by itself, and comparing different behaviours invalidates the inference. For the ADR, state which performance claim is measured and which is merely a hypothesis. This C10 package provides no React profiling, no selector benchmark and no evidence that a larger state library is faster for the cohort’s applications.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measurement would make this optimisation claim falsifiable?</w:t>
      </w:r>
    </w:p>
    <w:p>
      <w:pPr>
        <w:keepLines/>
        <w:jc w:val="both"/>
      </w:pPr>
      <w:r>
        <w:rPr>
          <w:rFonts w:ascii="Times New Roman" w:hAnsi="Times New Roman" w:eastAsia="Times New Roman" w:cs="Times New Roman"/>
          <w:b w:val="0"/>
          <w:i/>
          <w:sz w:val="24"/>
        </w:rPr>
        <w:t>Basis: CAN-24;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25. Async store state has phases</w:t>
      </w:r>
    </w:p>
    <w:p>
      <w:pPr>
        <w:keepLines/>
        <w:jc w:val="both"/>
      </w:pPr>
      <w:r>
        <w:rPr>
          <w:rFonts w:ascii="Times New Roman" w:hAnsi="Times New Roman" w:eastAsia="Times New Roman" w:cs="Times New Roman"/>
          <w:b w:val="0"/>
          <w:i w:val="0"/>
          <w:sz w:val="24"/>
        </w:rPr>
        <w:t>Represent idle, loading, succeeded and failed rather than conflating empty data with unfinished work. A retained data snapshot can coexist with a refresh failure. Per-entity mutation status may be needed when different items have separate pending work.</w:t>
      </w:r>
    </w:p>
    <w:p>
      <w:pPr>
        <w:keepLines/>
        <w:jc w:val="both"/>
      </w:pPr>
      <w:r>
        <w:rPr>
          <w:rFonts w:ascii="Times New Roman" w:hAnsi="Times New Roman" w:eastAsia="Times New Roman" w:cs="Times New Roman"/>
          <w:b w:val="0"/>
          <w:i w:val="0"/>
          <w:sz w:val="24"/>
        </w:rPr>
        <w:t>Do not conflate a successful list refresh with a confirmed mark-read. They can overlap and their settlements may describe different points in time. Write the action order and the relevant identity before interpreting state. The lecture examples illustrate a subset of these phases; a missing failure handler is a limitation of that example, not proof that no request can ever fail.</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data remain visible while a refresh status is failed?</w:t>
      </w:r>
    </w:p>
    <w:p>
      <w:pPr>
        <w:keepLines/>
        <w:jc w:val="both"/>
      </w:pPr>
      <w:r>
        <w:rPr>
          <w:rFonts w:ascii="Times New Roman" w:hAnsi="Times New Roman" w:eastAsia="Times New Roman" w:cs="Times New Roman"/>
          <w:b w:val="0"/>
          <w:i/>
          <w:sz w:val="24"/>
        </w:rPr>
        <w:t>Basis: CAN-25;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26. Inject the API adapter</w:t>
      </w:r>
    </w:p>
    <w:p>
      <w:pPr>
        <w:keepLines/>
        <w:jc w:val="both"/>
      </w:pPr>
      <w:r>
        <w:rPr>
          <w:rFonts w:ascii="Times New Roman" w:hAnsi="Times New Roman" w:eastAsia="Times New Roman" w:cs="Times New Roman"/>
          <w:b w:val="0"/>
          <w:i w:val="0"/>
          <w:sz w:val="24"/>
        </w:rPr>
        <w:t>An injected domain adapter lets transition logic request list or mark-read without hard-coding raw fetch paths inside a slice. The adapter is also a boundary for controlled test doubles. Say whether a result came from the supplied in-memory fixture, a stub or a real server.</w:t>
      </w:r>
    </w:p>
    <w:p>
      <w:pPr>
        <w:keepLines/>
        <w:jc w:val="both"/>
      </w:pPr>
      <w:r>
        <w:rPr>
          <w:rFonts w:ascii="Times New Roman" w:hAnsi="Times New Roman" w:eastAsia="Times New Roman" w:cs="Times New Roman"/>
          <w:b w:val="0"/>
          <w:i w:val="0"/>
          <w:sz w:val="24"/>
        </w:rPr>
        <w:t xml:space="preserve">A thunk lifecycle separates pending, fulfilled and rejected actions, but createAsyncThunk does not generate application-specific reducer policy. Nor does catching an error prove cancellation of work already performed elsewhere. Keep raw details out of user-facing messages while retaining sufficient private evidence to identify the failure class. This course installs and starts no service.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adapter confirm, and what does it not confirm?</w:t>
      </w:r>
    </w:p>
    <w:p>
      <w:pPr>
        <w:keepLines/>
        <w:jc w:val="both"/>
      </w:pPr>
      <w:r>
        <w:rPr>
          <w:rFonts w:ascii="Times New Roman" w:hAnsi="Times New Roman" w:eastAsia="Times New Roman" w:cs="Times New Roman"/>
          <w:b w:val="0"/>
          <w:i/>
          <w:sz w:val="24"/>
        </w:rPr>
        <w:t>Basis: CAN-26;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27. Server confirmation remains authoritative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a confirmed-only workflow, publish the returned entity after the adapter resolves, not at the button click. Optimistic changes would require an additional explicit rollback and conflict policy. That is outside the supplied optional P02 contract.</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Even confirmed-only publication needs ordering. An older list snapshot can overwrite a later confirmed item when both are accepted without coordination. The C10 trace records that possible local sequence and its limits; it is not a repaired notification slice. A changed local read flag does not prove that server state itself has reverted. The private S10 successor is a separate production task.</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Was this snapshot requested before or after the confirmed mutation?</w:t>
      </w:r>
    </w:p>
    <w:p>
      <w:pPr>
        <w:keepLines/>
        <w:jc w:val="both"/>
      </w:pPr>
      <w:r>
        <w:rPr>
          <w:rFonts w:ascii="Times New Roman" w:hAnsi="Times New Roman" w:eastAsia="Times New Roman" w:cs="Times New Roman"/>
          <w:b w:val="0"/>
          <w:i/>
          <w:sz w:val="24"/>
        </w:rPr>
        <w:t>Basis: CAN-27;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28. Request IDs delimit publication</w:t>
      </w:r>
    </w:p>
    <w:p>
      <w:pPr>
        <w:keepLines/>
        <w:jc w:val="both"/>
      </w:pPr>
      <w:r>
        <w:rPr>
          <w:rFonts w:ascii="Times New Roman" w:hAnsi="Times New Roman" w:eastAsia="Times New Roman" w:cs="Times New Roman"/>
          <w:b w:val="0"/>
          <w:i w:val="0"/>
          <w:sz w:val="24"/>
        </w:rPr>
        <w:t>Recording the current request on pending and checking it on settlement can reject older results within that request family. The rule must be applied to all relevant terminal branches. The chosen identity is not an entity ID and does not make requests synchronous.</w:t>
      </w:r>
    </w:p>
    <w:p>
      <w:pPr>
        <w:keepLines/>
        <w:jc w:val="both"/>
      </w:pPr>
      <w:r>
        <w:rPr>
          <w:rFonts w:ascii="Times New Roman" w:hAnsi="Times New Roman" w:eastAsia="Times New Roman" w:cs="Times New Roman"/>
          <w:b w:val="0"/>
          <w:i w:val="0"/>
          <w:sz w:val="24"/>
        </w:rPr>
        <w:t xml:space="preserve">Refresh-versus-refresh, refresh-versus-mark and reset-versus-in-flight are different policies. Protecting the first does not automatically protect the others. LAB-M09 to M13 use named finite traces, not the optional assessed slice. The broader same-ID mark counterexample involves programmatic concurrency; the ordinary UI disables its loading button, so that trigger must be stated.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action families share the ordering policy?</w:t>
      </w:r>
    </w:p>
    <w:p>
      <w:pPr>
        <w:keepLines/>
        <w:jc w:val="both"/>
      </w:pPr>
      <w:r>
        <w:rPr>
          <w:rFonts w:ascii="Times New Roman" w:hAnsi="Times New Roman" w:eastAsia="Times New Roman" w:cs="Times New Roman"/>
          <w:b w:val="0"/>
          <w:i/>
          <w:sz w:val="24"/>
        </w:rPr>
        <w:t>Basis: CAN-28;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29. Worked example — latest request guard</w:t>
      </w:r>
    </w:p>
    <w:p>
      <w:pPr>
        <w:keepLines/>
        <w:jc w:val="both"/>
      </w:pPr>
      <w:r>
        <w:rPr>
          <w:rFonts w:ascii="Times New Roman" w:hAnsi="Times New Roman" w:eastAsia="Times New Roman" w:cs="Times New Roman"/>
          <w:b w:val="0"/>
          <w:i w:val="0"/>
          <w:sz w:val="24"/>
        </w:rPr>
        <w:t>EX-05 supplies a local timer-based thunk. Pending records the latest request ID; fulfilled checks that identity before publishing the returned string array. Start a slow request, then a fast one: accepting the fast result and ignoring the late slow result illustrates its actual success-path contract.</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There is no rejected handler in the exact configuration. A separately injected rejection leaves loading unchanged in the captured-case model. That is a bounded counterexample, not an error observed from the normally resolving timer or a server. A small derived search-lifecycle helper shows a failure branch, clearly separate from EX-05 and from the full P02 solution (N-06).</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terminal action is absent from the original configuration?</w:t>
      </w:r>
    </w:p>
    <w:p>
      <w:pPr>
        <w:keepLines/>
        <w:jc w:val="both"/>
      </w:pPr>
      <w:r>
        <w:rPr>
          <w:rFonts w:ascii="Times New Roman" w:hAnsi="Times New Roman" w:eastAsia="Times New Roman" w:cs="Times New Roman"/>
          <w:b w:val="0"/>
          <w:i/>
          <w:sz w:val="24"/>
        </w:rPr>
        <w:t>Basis: CAN-29;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30. Separate state, effect adapter and presentation</w:t>
      </w:r>
    </w:p>
    <w:p>
      <w:pPr>
        <w:keepLines/>
        <w:jc w:val="both"/>
      </w:pPr>
      <w:r>
        <w:rPr>
          <w:rFonts w:ascii="Times New Roman" w:hAnsi="Times New Roman" w:eastAsia="Times New Roman" w:cs="Times New Roman"/>
          <w:b w:val="0"/>
          <w:i w:val="0"/>
          <w:sz w:val="24"/>
        </w:rPr>
        <w:t>State logic owns invariants, transitions and read views. The adapter owns the external operation’s protocol. Presentation owns accessible controls, local drafts and how results are shown. Keeping these boundaries explicit makes it possible to investigate a failure without rewriting every layer.</w:t>
      </w:r>
    </w:p>
    <w:p>
      <w:pPr>
        <w:keepLines/>
        <w:jc w:val="both"/>
      </w:pPr>
      <w:r>
        <w:rPr>
          <w:rFonts w:ascii="Times New Roman" w:hAnsi="Times New Roman" w:eastAsia="Times New Roman" w:cs="Times New Roman"/>
          <w:b w:val="0"/>
          <w:i w:val="0"/>
          <w:sz w:val="24"/>
        </w:rPr>
        <w:t>An unavailable runtime, parser error, missing dependency or failed reporter is not the same as a named learner assertion failure. Record the exact source, command and error class. A model is useful for isolating one policy, but must not be renamed an application trace or uploaded as a student’s genuine observation. Preserve pending evidence as pending.</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layer owns the failure and which evidence class tested it?</w:t>
      </w:r>
    </w:p>
    <w:p>
      <w:pPr>
        <w:keepLines/>
        <w:jc w:val="both"/>
      </w:pPr>
      <w:r>
        <w:rPr>
          <w:rFonts w:ascii="Times New Roman" w:hAnsi="Times New Roman" w:eastAsia="Times New Roman" w:cs="Times New Roman"/>
          <w:b w:val="0"/>
          <w:i/>
          <w:sz w:val="24"/>
        </w:rPr>
        <w:t>Basis: CAN-30;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31. Compare only behaviourally equivalent candidates</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Before comparing costs, define the behaviour and capabilities that make a candidate eligible. The supplied P03 has two preference implementations and static descriptors. Its flags and signature are not fresh proof that the student characterised every required interaction.</w:t>
      </w:r>
    </w:p>
    <w:p>
      <w:pPr>
        <w:keepLines/>
        <w:jc w:val="both"/>
      </w:pPr>
      <w:r>
        <w:rPr>
          <w:rFonts w:ascii="Times New Roman" w:hAnsi="Times New Roman" w:eastAsia="Times New Roman" w:cs="Times New Roman"/>
          <w:b w:val="0"/>
          <w:i w:val="0"/>
          <w:sz w:val="24"/>
        </w:rPr>
        <w:t>The mandatory ADR may use a manually reasoned evidence table. It must label actual observations, source-supported limits and supplied assumptions separately. A capability missing from these two candidates is not universally impossible with the same library family. Do not add a fictional Redux candidate or complete the assessed comparator merely to generate a confident-looking recommendation (N-08).</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observation supports this candidate’s eligibility?</w:t>
      </w:r>
    </w:p>
    <w:p>
      <w:pPr>
        <w:keepLines/>
        <w:jc w:val="both"/>
      </w:pPr>
      <w:r>
        <w:rPr>
          <w:rFonts w:ascii="Times New Roman" w:hAnsi="Times New Roman" w:eastAsia="Times New Roman" w:cs="Times New Roman"/>
          <w:b w:val="0"/>
          <w:i/>
          <w:sz w:val="24"/>
        </w:rPr>
        <w:t>Basis: CAN-31;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32. The simplest eligible candidate may be absent</w:t>
      </w:r>
    </w:p>
    <w:p>
      <w:pPr>
        <w:keepLines/>
        <w:jc w:val="both"/>
      </w:pPr>
      <w:r>
        <w:rPr>
          <w:rFonts w:ascii="Times New Roman" w:hAnsi="Times New Roman" w:eastAsia="Times New Roman" w:cs="Times New Roman"/>
          <w:b w:val="0"/>
          <w:i w:val="0"/>
          <w:sz w:val="24"/>
        </w:rPr>
        <w:t>If neither supplied candidate meets required cross-route, asynchronous coordination and event-history capabilities, the admissible answer is no eligible candidate. A low cost cannot compensate for a missing required capability. A future design proposal remains a proposal until implemented and characterised.</w:t>
      </w:r>
    </w:p>
    <w:p>
      <w:pPr>
        <w:keepLines/>
        <w:jc w:val="both"/>
      </w:pPr>
      <w:r>
        <w:rPr>
          <w:rFonts w:ascii="Times New Roman" w:hAnsi="Times New Roman" w:eastAsia="Times New Roman" w:cs="Times New Roman"/>
          <w:b w:val="0"/>
          <w:i w:val="0"/>
          <w:sz w:val="24"/>
        </w:rPr>
        <w:t>Likewise, retain a genuine tie when no explicit tie-break criterion is supplied. A lexical tie-break can make the output deterministic, but it does not make one tied cost higher. State that equality and the rule. The C10 worksheet teaches the decision method without publishing the complete comparator algorithm or a finished capstone ADR (N-09).</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no eligible candidate a valid result under these requirements?</w:t>
      </w:r>
    </w:p>
    <w:p>
      <w:pPr>
        <w:keepLines/>
        <w:jc w:val="both"/>
      </w:pPr>
      <w:r>
        <w:rPr>
          <w:rFonts w:ascii="Times New Roman" w:hAnsi="Times New Roman" w:eastAsia="Times New Roman" w:cs="Times New Roman"/>
          <w:b w:val="0"/>
          <w:i/>
          <w:sz w:val="24"/>
        </w:rPr>
        <w:t>Basis: CAN-32;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33. Metrics need representative evidence</w:t>
      </w:r>
    </w:p>
    <w:p>
      <w:pPr>
        <w:keepLines/>
        <w:jc w:val="both"/>
      </w:pPr>
      <w:r>
        <w:rPr>
          <w:rFonts w:ascii="Times New Roman" w:hAnsi="Times New Roman" w:eastAsia="Times New Roman" w:cs="Times New Roman"/>
          <w:b w:val="0"/>
          <w:i w:val="0"/>
          <w:sz w:val="24"/>
        </w:rPr>
        <w:t>The supplied illustrative costs are 1 + p and 2 + 0.15p. At p=0 they are 1 and 2; at p=3 they are 4 and 2.45. The intersection is p=20/17, approximately 1.17647. These are algebraic consequences of stipulated coefficients, not an empirical threshold for maintainability.</w:t>
      </w:r>
    </w:p>
    <w:p>
      <w:pPr>
        <w:keepLines/>
        <w:jc w:val="both"/>
      </w:pPr>
      <w:r>
        <w:rPr>
          <w:rFonts w:ascii="Times New Roman" w:hAnsi="Times New Roman" w:eastAsia="Times New Roman" w:cs="Times New Roman"/>
          <w:b w:val="0"/>
          <w:i w:val="0"/>
          <w:sz w:val="24"/>
        </w:rPr>
        <w:t>Change one assumption and show what changes. Keep capability gates distinct from cost arithmetic. The public helper calculates only this fixed pair of costs; it does not validate parity, rank arbitrary candidates or award an architecture score. Real timing, render or team-cost claims need separate representative evidence (N-08).</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coefficient is measured and which is an assumption?</w:t>
      </w:r>
    </w:p>
    <w:p>
      <w:pPr>
        <w:keepLines/>
        <w:jc w:val="both"/>
      </w:pPr>
      <w:r>
        <w:rPr>
          <w:rFonts w:ascii="Times New Roman" w:hAnsi="Times New Roman" w:eastAsia="Times New Roman" w:cs="Times New Roman"/>
          <w:b w:val="0"/>
          <w:i/>
          <w:sz w:val="24"/>
        </w:rPr>
        <w:t>Basis: CAN-33;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34. Record reasons and rejected alternatives</w:t>
      </w:r>
    </w:p>
    <w:p>
      <w:pPr>
        <w:keepLines/>
        <w:jc w:val="both"/>
      </w:pPr>
      <w:r>
        <w:rPr>
          <w:rFonts w:ascii="Times New Roman" w:hAnsi="Times New Roman" w:eastAsia="Times New Roman" w:cs="Times New Roman"/>
          <w:b w:val="0"/>
          <w:i w:val="0"/>
          <w:sz w:val="24"/>
        </w:rPr>
        <w:t>A useful ADR names the problem, owners, consumers, lifetime, authority, required capabilities and evidence limits. Explain why the selected candidate is eligible, which alternatives were rejected and what observation would trigger reconsideration. A generic lowest-cost sentence alone does not identify the satisfied requirement.</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exact P03 comparator can misdescribe a tied alternative as more costly after an explicit tie-break. The derived explanation corrects that wording without changing the canonical comparator. Malformed flags, absent signatures and non-finite costs also need an explicit data contract before any comparison. Neither a JSON flag nor a form selector authenticates a real test (N-09/N-10).</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Would your reason still be true if the alternative had equal cost?</w:t>
      </w:r>
    </w:p>
    <w:p>
      <w:pPr>
        <w:keepLines/>
        <w:jc w:val="both"/>
      </w:pPr>
      <w:r>
        <w:rPr>
          <w:rFonts w:ascii="Times New Roman" w:hAnsi="Times New Roman" w:eastAsia="Times New Roman" w:cs="Times New Roman"/>
          <w:b w:val="0"/>
          <w:i/>
          <w:sz w:val="24"/>
        </w:rPr>
        <w:t>Basis: CAN-34; examples and corrections are distinguished in SOURCE_NOTES.md.</w:t>
      </w:r>
    </w:p>
    <w:p>
      <w:pPr>
        <w:pStyle w:val="Heading1"/>
        <w:keepLines/>
        <w:pageBreakBefore/>
        <w:ind w:firstLine="0"/>
        <w:jc w:val="left"/>
      </w:pPr>
      <w:r>
        <w:rPr>
          <w:rFonts w:ascii="Times New Roman" w:hAnsi="Times New Roman" w:eastAsia="Times New Roman" w:cs="Times New Roman"/>
          <w:b w:val="0"/>
          <w:i w:val="0"/>
          <w:sz w:val="24"/>
        </w:rPr>
        <w:t>A derived four-row ownership inventory</w:t>
      </w:r>
    </w:p>
    <w:p>
      <w:pPr>
        <w:keepLines/>
        <w:jc w:val="both"/>
      </w:pPr>
      <w:r>
        <w:rPr>
          <w:rFonts w:ascii="Times New Roman" w:hAnsi="Times New Roman" w:eastAsia="Times New Roman" w:cs="Times New Roman"/>
          <w:b w:val="0"/>
          <w:i w:val="0"/>
          <w:sz w:val="24"/>
        </w:rPr>
        <w:t>This is a teaching worksheet, not the table claimed by EX-01’s README. Use it as a starting hypothesis and record the actual component and lifetime in your project.</w:t>
      </w:r>
    </w:p>
    <w:tbl>
      <w:tblPr>
        <w:tblStyle w:val="TableGrid"/>
        <w:tblW w:type="auto" w:w="0"/>
        <w:tblLayout w:type="autofit"/>
        <w:tblLook w:firstColumn="1" w:firstRow="1" w:lastColumn="0" w:lastRow="0" w:noHBand="0" w:noVBand="1" w:val="04A0"/>
      </w:tblPr>
      <w:tblGrid>
        <w:gridCol w:w="2401"/>
        <w:gridCol w:w="2401"/>
        <w:gridCol w:w="2401"/>
        <w:gridCol w:w="2401"/>
      </w:tblGrid>
      <w:tr>
        <w:trPr>
          <w:cantSplit/>
          <w:tblHeader/>
        </w:trPr>
        <w:tc>
          <w:tcPr>
            <w:tcW w:type="dxa" w:w="2401"/>
          </w:tcPr>
          <w:p>
            <w:pPr>
              <w:spacing w:after="80" w:line="252" w:lineRule="auto"/>
              <w:ind w:firstLine="0"/>
            </w:pPr>
            <w:r>
              <w:rPr>
                <w:rFonts w:ascii="Times New Roman" w:hAnsi="Times New Roman" w:eastAsia="Times New Roman" w:cs="Times New Roman"/>
                <w:b/>
                <w:i w:val="0"/>
                <w:sz w:val="24"/>
              </w:rPr>
              <w:t>Value</w:t>
            </w:r>
          </w:p>
        </w:tc>
        <w:tc>
          <w:tcPr>
            <w:tcW w:type="dxa" w:w="2401"/>
          </w:tcPr>
          <w:p>
            <w:pPr>
              <w:spacing w:after="80" w:line="252" w:lineRule="auto"/>
              <w:ind w:firstLine="0"/>
            </w:pPr>
            <w:r>
              <w:rPr>
                <w:rFonts w:ascii="Times New Roman" w:hAnsi="Times New Roman" w:eastAsia="Times New Roman" w:cs="Times New Roman"/>
                <w:b/>
                <w:i w:val="0"/>
                <w:sz w:val="24"/>
              </w:rPr>
              <w:t>Owner or authority</w:t>
            </w:r>
          </w:p>
        </w:tc>
        <w:tc>
          <w:tcPr>
            <w:tcW w:type="dxa" w:w="2401"/>
          </w:tcPr>
          <w:p>
            <w:pPr>
              <w:spacing w:after="80" w:line="252" w:lineRule="auto"/>
              <w:ind w:firstLine="0"/>
            </w:pPr>
            <w:r>
              <w:rPr>
                <w:rFonts w:ascii="Times New Roman" w:hAnsi="Times New Roman" w:eastAsia="Times New Roman" w:cs="Times New Roman"/>
                <w:b/>
                <w:i w:val="0"/>
                <w:sz w:val="24"/>
              </w:rPr>
              <w:t>Read view</w:t>
            </w:r>
          </w:p>
        </w:tc>
        <w:tc>
          <w:tcPr>
            <w:tcW w:type="dxa" w:w="2401"/>
          </w:tcPr>
          <w:p>
            <w:pPr>
              <w:spacing w:after="80" w:line="252" w:lineRule="auto"/>
              <w:ind w:firstLine="0"/>
            </w:pPr>
            <w:r>
              <w:rPr>
                <w:rFonts w:ascii="Times New Roman" w:hAnsi="Times New Roman" w:eastAsia="Times New Roman" w:cs="Times New Roman"/>
                <w:b/>
                <w:i w:val="0"/>
                <w:sz w:val="24"/>
              </w:rPr>
              <w:t>Witness still needed</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Search draft</w:t>
            </w:r>
          </w:p>
        </w:tc>
        <w:tc>
          <w:tcPr>
            <w:tcW w:type="dxa" w:w="2401"/>
          </w:tcPr>
          <w:p>
            <w:pPr>
              <w:spacing w:after="80" w:line="252" w:lineRule="auto"/>
              <w:ind w:firstLine="0"/>
            </w:pPr>
            <w:r>
              <w:rPr>
                <w:rFonts w:ascii="Times New Roman" w:hAnsi="Times New Roman" w:eastAsia="Times New Roman" w:cs="Times New Roman"/>
                <w:b w:val="0"/>
                <w:i w:val="0"/>
                <w:sz w:val="24"/>
              </w:rPr>
              <w:t>Nearest coordinating component</w:t>
            </w:r>
          </w:p>
        </w:tc>
        <w:tc>
          <w:tcPr>
            <w:tcW w:type="dxa" w:w="2401"/>
          </w:tcPr>
          <w:p>
            <w:pPr>
              <w:spacing w:after="80" w:line="252" w:lineRule="auto"/>
              <w:ind w:firstLine="0"/>
            </w:pPr>
            <w:r>
              <w:rPr>
                <w:rFonts w:ascii="Times New Roman" w:hAnsi="Times New Roman" w:eastAsia="Times New Roman" w:cs="Times New Roman"/>
                <w:b w:val="0"/>
                <w:i w:val="0"/>
                <w:sz w:val="24"/>
              </w:rPr>
              <w:t>Input and filtered list</w:t>
            </w:r>
          </w:p>
        </w:tc>
        <w:tc>
          <w:tcPr>
            <w:tcW w:type="dxa" w:w="2401"/>
          </w:tcPr>
          <w:p>
            <w:pPr>
              <w:spacing w:after="80" w:line="252" w:lineRule="auto"/>
              <w:ind w:firstLine="0"/>
            </w:pPr>
            <w:r>
              <w:rPr>
                <w:rFonts w:ascii="Times New Roman" w:hAnsi="Times New Roman" w:eastAsia="Times New Roman" w:cs="Times New Roman"/>
                <w:b w:val="0"/>
                <w:i w:val="0"/>
                <w:sz w:val="24"/>
              </w:rPr>
              <w:t>Exact component path and observed lifetime</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Visible count</w:t>
            </w:r>
          </w:p>
        </w:tc>
        <w:tc>
          <w:tcPr>
            <w:tcW w:type="dxa" w:w="2401"/>
          </w:tcPr>
          <w:p>
            <w:pPr>
              <w:spacing w:after="80" w:line="252" w:lineRule="auto"/>
              <w:ind w:firstLine="0"/>
            </w:pPr>
            <w:r>
              <w:rPr>
                <w:rFonts w:ascii="Times New Roman" w:hAnsi="Times New Roman" w:eastAsia="Times New Roman" w:cs="Times New Roman"/>
                <w:b w:val="0"/>
                <w:i w:val="0"/>
                <w:sz w:val="24"/>
              </w:rPr>
              <w:t>No independent state owner</w:t>
            </w:r>
          </w:p>
        </w:tc>
        <w:tc>
          <w:tcPr>
            <w:tcW w:type="dxa" w:w="2401"/>
          </w:tcPr>
          <w:p>
            <w:pPr>
              <w:spacing w:after="80" w:line="252" w:lineRule="auto"/>
              <w:ind w:firstLine="0"/>
            </w:pPr>
            <w:r>
              <w:rPr>
                <w:rFonts w:ascii="Times New Roman" w:hAnsi="Times New Roman" w:eastAsia="Times New Roman" w:cs="Times New Roman"/>
                <w:b w:val="0"/>
                <w:i w:val="0"/>
                <w:sz w:val="24"/>
              </w:rPr>
              <w:t>Derived from visible items</w:t>
            </w:r>
          </w:p>
        </w:tc>
        <w:tc>
          <w:tcPr>
            <w:tcW w:type="dxa" w:w="2401"/>
          </w:tcPr>
          <w:p>
            <w:pPr>
              <w:spacing w:after="80" w:line="252" w:lineRule="auto"/>
              <w:ind w:firstLine="0"/>
            </w:pPr>
            <w:r>
              <w:rPr>
                <w:rFonts w:ascii="Times New Roman" w:hAnsi="Times New Roman" w:eastAsia="Times New Roman" w:cs="Times New Roman"/>
                <w:b w:val="0"/>
                <w:i w:val="0"/>
                <w:sz w:val="24"/>
              </w:rPr>
              <w:t>Update input, then verify derivation</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Shared selection</w:t>
            </w:r>
          </w:p>
        </w:tc>
        <w:tc>
          <w:tcPr>
            <w:tcW w:type="dxa" w:w="2401"/>
          </w:tcPr>
          <w:p>
            <w:pPr>
              <w:spacing w:after="80" w:line="252" w:lineRule="auto"/>
              <w:ind w:firstLine="0"/>
            </w:pPr>
            <w:r>
              <w:rPr>
                <w:rFonts w:ascii="Times New Roman" w:hAnsi="Times New Roman" w:eastAsia="Times New Roman" w:cs="Times New Roman"/>
                <w:b w:val="0"/>
                <w:i w:val="0"/>
                <w:sz w:val="24"/>
              </w:rPr>
              <w:t>Nearest eligible common owner</w:t>
            </w:r>
          </w:p>
        </w:tc>
        <w:tc>
          <w:tcPr>
            <w:tcW w:type="dxa" w:w="2401"/>
          </w:tcPr>
          <w:p>
            <w:pPr>
              <w:spacing w:after="80" w:line="252" w:lineRule="auto"/>
              <w:ind w:firstLine="0"/>
            </w:pPr>
            <w:r>
              <w:rPr>
                <w:rFonts w:ascii="Times New Roman" w:hAnsi="Times New Roman" w:eastAsia="Times New Roman" w:cs="Times New Roman"/>
                <w:b w:val="0"/>
                <w:i w:val="0"/>
                <w:sz w:val="24"/>
              </w:rPr>
              <w:t>Sibling consumers</w:t>
            </w:r>
          </w:p>
        </w:tc>
        <w:tc>
          <w:tcPr>
            <w:tcW w:type="dxa" w:w="2401"/>
          </w:tcPr>
          <w:p>
            <w:pPr>
              <w:spacing w:after="80" w:line="252" w:lineRule="auto"/>
              <w:ind w:firstLine="0"/>
            </w:pPr>
            <w:r>
              <w:rPr>
                <w:rFonts w:ascii="Times New Roman" w:hAnsi="Times New Roman" w:eastAsia="Times New Roman" w:cs="Times New Roman"/>
                <w:b w:val="0"/>
                <w:i w:val="0"/>
                <w:sz w:val="24"/>
              </w:rPr>
              <w:t>One change reflected by each relevant consumer</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Confirmed resource</w:t>
            </w:r>
          </w:p>
        </w:tc>
        <w:tc>
          <w:tcPr>
            <w:tcW w:type="dxa" w:w="2401"/>
          </w:tcPr>
          <w:p>
            <w:pPr>
              <w:spacing w:after="80" w:line="252" w:lineRule="auto"/>
              <w:ind w:firstLine="0"/>
            </w:pPr>
            <w:r>
              <w:rPr>
                <w:rFonts w:ascii="Times New Roman" w:hAnsi="Times New Roman" w:eastAsia="Times New Roman" w:cs="Times New Roman"/>
                <w:b w:val="0"/>
                <w:i w:val="0"/>
                <w:sz w:val="24"/>
              </w:rPr>
              <w:t>Server or explicitly supplied adapter</w:t>
            </w:r>
          </w:p>
        </w:tc>
        <w:tc>
          <w:tcPr>
            <w:tcW w:type="dxa" w:w="2401"/>
          </w:tcPr>
          <w:p>
            <w:pPr>
              <w:spacing w:after="80" w:line="252" w:lineRule="auto"/>
              <w:ind w:firstLine="0"/>
            </w:pPr>
            <w:r>
              <w:rPr>
                <w:rFonts w:ascii="Times New Roman" w:hAnsi="Times New Roman" w:eastAsia="Times New Roman" w:cs="Times New Roman"/>
                <w:b w:val="0"/>
                <w:i w:val="0"/>
                <w:sz w:val="24"/>
              </w:rPr>
              <w:t>Client representation</w:t>
            </w:r>
          </w:p>
        </w:tc>
        <w:tc>
          <w:tcPr>
            <w:tcW w:type="dxa" w:w="2401"/>
          </w:tcPr>
          <w:p>
            <w:pPr>
              <w:spacing w:after="80" w:line="252" w:lineRule="auto"/>
              <w:ind w:firstLine="0"/>
            </w:pPr>
            <w:r>
              <w:rPr>
                <w:rFonts w:ascii="Times New Roman" w:hAnsi="Times New Roman" w:eastAsia="Times New Roman" w:cs="Times New Roman"/>
                <w:b w:val="0"/>
                <w:i w:val="0"/>
                <w:sz w:val="24"/>
              </w:rPr>
              <w:t>Actual confirmation, source identity and limits</w:t>
            </w:r>
          </w:p>
        </w:tc>
      </w:tr>
    </w:tbl>
    <w:p>
      <w:pPr>
        <w:pStyle w:val="Heading1"/>
        <w:keepLines/>
        <w:ind w:firstLine="0"/>
        <w:jc w:val="left"/>
      </w:pPr>
      <w:r>
        <w:rPr>
          <w:rFonts w:ascii="Times New Roman" w:hAnsi="Times New Roman" w:eastAsia="Times New Roman" w:cs="Times New Roman"/>
          <w:b w:val="0"/>
          <w:i w:val="0"/>
          <w:sz w:val="24"/>
        </w:rPr>
        <w:t>An assumption-sensitive calculation, not a comparator solution</w:t>
      </w:r>
    </w:p>
    <w:p>
      <w:pPr>
        <w:keepLines/>
        <w:jc w:val="both"/>
      </w:pPr>
      <w:r>
        <w:rPr>
          <w:rFonts w:ascii="Times New Roman" w:hAnsi="Times New Roman" w:eastAsia="Times New Roman" w:cs="Times New Roman"/>
          <w:b w:val="0"/>
          <w:i w:val="0"/>
          <w:sz w:val="24"/>
        </w:rPr>
        <w:t>For the fixed illustrative pair, cA = 1 + p and cB = 2 + 0.15p. Solving cA = cB gives 0.85p = 1, hence p = 20/17. A supplied pressure is an assumption, not an instrument reading. At the crossing, a reason claiming a strictly higher alternative cost would be false. Requiring unsupported capabilities can exclude both candidates regardless of this arithmetic.</w:t>
      </w:r>
    </w:p>
    <w:p>
      <w:pPr>
        <w:keepLines/>
        <w:jc w:val="both"/>
      </w:pPr>
      <w:r>
        <w:rPr>
          <w:rFonts w:ascii="Times New Roman" w:hAnsi="Times New Roman" w:eastAsia="Times New Roman" w:cs="Times New Roman"/>
          <w:b w:val="0"/>
          <w:i w:val="0"/>
          <w:sz w:val="24"/>
        </w:rPr>
        <w:t>The offline lab exposes fixed named traces and this arithmetic only. It does not accept a capstone dataset, authenticate observations or implement the assessed general comparator. Imported text and synthetic flags cannot create evidence of execution.</w:t>
      </w:r>
    </w:p>
    <w:p>
      <w:pPr>
        <w:pStyle w:val="Heading1"/>
        <w:keepLines/>
        <w:ind w:firstLine="0"/>
        <w:jc w:val="left"/>
      </w:pPr>
      <w:r>
        <w:rPr>
          <w:rFonts w:ascii="Times New Roman" w:hAnsi="Times New Roman" w:eastAsia="Times New Roman" w:cs="Times New Roman"/>
          <w:b w:val="0"/>
          <w:i w:val="0"/>
          <w:sz w:val="24"/>
        </w:rPr>
        <w:t>Transfer and honest completion</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P01, first inventory track and savedIds against the local search and disclosure controls. The permitted future edit is student/src/state/workshop-state.jsx. Keep the full central contract; do not move controls into prohibited support files to repair a prose discrepancy. A normalisation check is not mounted provider isolation.</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For the required ADR, identify one actual capstone state-placement decision and its evidence. Distinguish capabilities of the candidates you inspected from universal claims about library families. Include a sensitivity check and a legitimate tie or no-eligible-candidate case when appropriate. Full P02 and full comparator implementation are not hidden S10 requirements.</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minute-60 stop ends the meeting’s content. It does not declare P01, the ADR or a real Gemini exchange complete. Retain unfinished work until the teacher-set deadline. C10 has no separate Assignment; S10 will bring its own evidence form and one-PDF submission route in the next production phase.</w:t>
      </w:r>
    </w:p>
    <w:p>
      <w:pPr>
        <w:pStyle w:val="Heading1"/>
        <w:keepLines/>
        <w:ind w:firstLine="0"/>
        <w:jc w:val="left"/>
      </w:pPr>
      <w:r>
        <w:rPr>
          <w:rFonts w:ascii="Times New Roman" w:hAnsi="Times New Roman" w:eastAsia="Times New Roman" w:cs="Times New Roman"/>
          <w:b w:val="0"/>
          <w:i w:val="0"/>
          <w:sz w:val="24"/>
        </w:rPr>
        <w:t>Evidence ladder</w:t>
      </w:r>
    </w:p>
    <w:p>
      <w:pPr>
        <w:keepLines/>
        <w:jc w:val="both"/>
      </w:pPr>
      <w:r>
        <w:rPr>
          <w:rFonts w:ascii="Times New Roman" w:hAnsi="Times New Roman" w:eastAsia="Times New Roman" w:cs="Times New Roman"/>
          <w:b w:val="0"/>
          <w:i w:val="0"/>
          <w:sz w:val="24"/>
        </w:rPr>
        <w:t>Source reading, pure JavaScript, captured callbacks, DOM stand-ins, actual React/Redux Toolkit, a real browser and native Word/platform checks are different classes. A SHA-256, a build log and an observed UI transition answer different questions. Retain the exact source, input, assertion, output and limit for every claim. This package’s qualification is deferred; R3B-6 remains suspended.</w:t>
      </w:r>
    </w:p>
    <w:p>
      <w:pPr>
        <w:pStyle w:val="Title"/>
        <w:keepLines/>
        <w:ind w:firstLine="0"/>
        <w:jc w:val="left"/>
      </w:pPr>
      <w:r>
        <w:rPr>
          <w:rFonts w:ascii="Times New Roman" w:hAnsi="Times New Roman" w:eastAsia="Times New Roman" w:cs="Times New Roman"/>
          <w:b w:val="0"/>
          <w:i w:val="0"/>
          <w:sz w:val="24"/>
        </w:rPr>
        <w:t>C10 — Sources and evidence rights</w:t>
      </w:r>
    </w:p>
    <w:p>
      <w:pPr>
        <w:pStyle w:val="Heading1"/>
        <w:keepLines/>
        <w:ind w:firstLine="0"/>
        <w:jc w:val="left"/>
      </w:pPr>
      <w:r>
        <w:rPr>
          <w:rFonts w:ascii="Times New Roman" w:hAnsi="Times New Roman" w:eastAsia="Times New Roman" w:cs="Times New Roman"/>
          <w:b w:val="0"/>
          <w:i w:val="0"/>
          <w:sz w:val="24"/>
        </w:rPr>
        <w:t>Primary course basis</w:t>
      </w:r>
    </w:p>
    <w:p>
      <w:pPr>
        <w:keepLines/>
        <w:jc w:val="both"/>
      </w:pPr>
      <w:r>
        <w:rPr>
          <w:rFonts w:ascii="Times New Roman" w:hAnsi="Times New Roman" w:eastAsia="Times New Roman" w:cs="Times New Roman"/>
          <w:b w:val="0"/>
          <w:i w:val="0"/>
          <w:sz w:val="24"/>
        </w:rPr>
        <w:t>The primary material is the 34 numbered topics of the Unit 10 lecture, its five source examples and the active 14-week curriculum. CAN-xx refers to an original topic; EX-xx to a directory under canonical/; LAB-Mxx to a distinct teaching model. CANONICAL_SOURCES.json records every exact public copy. The source tree identity is 5bfb519fbb6aeb1855d372a747724b742c528c1fee06c1102b06402f8cf40587.</w:t>
      </w:r>
    </w:p>
    <w:p>
      <w:pPr>
        <w:keepLines/>
        <w:jc w:val="both"/>
      </w:pPr>
      <w:r>
        <w:rPr>
          <w:rFonts w:ascii="Times New Roman" w:hAnsi="Times New Roman" w:eastAsia="Times New Roman" w:cs="Times New Roman"/>
          <w:b w:val="0"/>
          <w:i w:val="0"/>
          <w:sz w:val="24"/>
        </w:rPr>
        <w:t>The derived architecture changes the historical 95-minute plan to 60 minutes without erasing source substance. Source titles and code keep their original wording; new prose uses British English. SOURCE_NOTES.md distinguishes corrections from the exact files. Full evaluated project solutions, original lecture and GIFT keys are private.</w:t>
      </w:r>
    </w:p>
    <w:p>
      <w:pPr>
        <w:pStyle w:val="Heading1"/>
        <w:keepLines/>
        <w:ind w:firstLine="0"/>
        <w:jc w:val="left"/>
      </w:pPr>
      <w:r>
        <w:rPr>
          <w:rFonts w:ascii="Times New Roman" w:hAnsi="Times New Roman" w:eastAsia="Times New Roman" w:cs="Times New Roman"/>
          <w:b w:val="0"/>
          <w:i w:val="0"/>
          <w:sz w:val="24"/>
        </w:rPr>
        <w:t>Primary documentation consulted</w:t>
      </w:r>
    </w:p>
    <w:p>
      <w:pPr>
        <w:keepLines/>
        <w:jc w:val="both"/>
      </w:pPr>
      <w:r>
        <w:rPr>
          <w:rFonts w:ascii="Times New Roman" w:hAnsi="Times New Roman" w:eastAsia="Times New Roman" w:cs="Times New Roman"/>
          <w:b w:val="0"/>
          <w:i w:val="0"/>
          <w:sz w:val="24"/>
        </w:rPr>
        <w:t>Consulted 30 September 2026 for the limited interpretations below. The React pages presented themselves as v19.3; this does not update or qualify the source pins. The Toolkit URLs redirected to redux.js.org/toolkit. No package was acquired. Documentation pages have no DOI; none has been invented.</w:t>
      </w:r>
    </w:p>
    <w:p>
      <w:pPr>
        <w:keepLines/>
        <w:ind w:firstLine="0"/>
      </w:pPr>
      <w:r>
        <w:rPr>
          <w:rFonts w:ascii="Times New Roman" w:hAnsi="Times New Roman" w:eastAsia="Times New Roman" w:cs="Times New Roman"/>
          <w:b/>
          <w:i w:val="0"/>
          <w:sz w:val="24"/>
        </w:rPr>
        <w:t>R1</w:t>
      </w:r>
      <w:r>
        <w:t xml:space="preserve"> — </w:t>
      </w:r>
      <w:r>
        <w:rPr>
          <w:rFonts w:ascii="Times New Roman" w:hAnsi="Times New Roman" w:eastAsia="Times New Roman" w:cs="Times New Roman"/>
          <w:b w:val="0"/>
          <w:i w:val="0"/>
          <w:sz w:val="24"/>
        </w:rPr>
        <w:t>React contributors. (n.d.). useReducer.</w:t>
      </w:r>
      <w:r>
        <w:rPr>
          <w:rFonts w:ascii="Times New Roman" w:hAnsi="Times New Roman" w:eastAsia="Times New Roman" w:cs="Times New Roman"/>
          <w:sz w:val="20"/>
        </w:rPr>
        <w:t xml:space="preserve"> (https://react.dev/reference/react/useReducer)</w:t>
      </w:r>
      <w:r>
        <w:t xml:space="preserve">. Role and limit: </w:t>
      </w:r>
      <w:r>
        <w:rPr>
          <w:rFonts w:ascii="Times New Roman" w:hAnsi="Times New Roman" w:eastAsia="Times New Roman" w:cs="Times New Roman"/>
          <w:b w:val="0"/>
          <w:i w:val="0"/>
          <w:sz w:val="24"/>
        </w:rPr>
        <w:t>Pure reducer/initialiser and stable dispatch identity; documentation, not a runtime or StrictMode test.</w:t>
      </w:r>
    </w:p>
    <w:p>
      <w:pPr>
        <w:keepLines/>
        <w:ind w:firstLine="0"/>
      </w:pPr>
      <w:r>
        <w:rPr>
          <w:rFonts w:ascii="Times New Roman" w:hAnsi="Times New Roman" w:eastAsia="Times New Roman" w:cs="Times New Roman"/>
          <w:b/>
          <w:i w:val="0"/>
          <w:sz w:val="24"/>
        </w:rPr>
        <w:t>R2</w:t>
      </w:r>
      <w:r>
        <w:t xml:space="preserve"> — </w:t>
      </w:r>
      <w:r>
        <w:rPr>
          <w:rFonts w:ascii="Times New Roman" w:hAnsi="Times New Roman" w:eastAsia="Times New Roman" w:cs="Times New Roman"/>
          <w:b w:val="0"/>
          <w:i w:val="0"/>
          <w:sz w:val="24"/>
        </w:rPr>
        <w:t>React contributors. (n.d.). useContext.</w:t>
      </w:r>
      <w:r>
        <w:rPr>
          <w:rFonts w:ascii="Times New Roman" w:hAnsi="Times New Roman" w:eastAsia="Times New Roman" w:cs="Times New Roman"/>
          <w:sz w:val="20"/>
        </w:rPr>
        <w:t xml:space="preserve"> (https://react.dev/reference/react/useContext)</w:t>
      </w:r>
      <w:r>
        <w:t xml:space="preserve">. Role and limit: </w:t>
      </w:r>
      <w:r>
        <w:rPr>
          <w:rFonts w:ascii="Times New Roman" w:hAnsi="Times New Roman" w:eastAsia="Times New Roman" w:cs="Times New Roman"/>
          <w:b w:val="0"/>
          <w:i w:val="0"/>
          <w:sz w:val="24"/>
        </w:rPr>
        <w:t>Subscriptions to the relevant provider value; no measured render-count or performance claim.</w:t>
      </w:r>
    </w:p>
    <w:p>
      <w:pPr>
        <w:keepLines/>
        <w:ind w:firstLine="0"/>
      </w:pPr>
      <w:r>
        <w:rPr>
          <w:rFonts w:ascii="Times New Roman" w:hAnsi="Times New Roman" w:eastAsia="Times New Roman" w:cs="Times New Roman"/>
          <w:b/>
          <w:i w:val="0"/>
          <w:sz w:val="24"/>
        </w:rPr>
        <w:t>R3</w:t>
      </w:r>
      <w:r>
        <w:t xml:space="preserve"> — </w:t>
      </w:r>
      <w:r>
        <w:rPr>
          <w:rFonts w:ascii="Times New Roman" w:hAnsi="Times New Roman" w:eastAsia="Times New Roman" w:cs="Times New Roman"/>
          <w:b w:val="0"/>
          <w:i w:val="0"/>
          <w:sz w:val="24"/>
        </w:rPr>
        <w:t>Redux maintainers. (n.d.). createEntityAdapter.</w:t>
      </w:r>
      <w:r>
        <w:rPr>
          <w:rFonts w:ascii="Times New Roman" w:hAnsi="Times New Roman" w:eastAsia="Times New Roman" w:cs="Times New Roman"/>
          <w:sz w:val="20"/>
        </w:rPr>
        <w:t xml:space="preserve"> (https://redux.js.org/toolkit/api/createEntityAdapter)</w:t>
      </w:r>
      <w:r>
        <w:t xml:space="preserve">. Role and limit: </w:t>
      </w:r>
      <w:r>
        <w:rPr>
          <w:rFonts w:ascii="Times New Roman" w:hAnsi="Times New Roman" w:eastAsia="Times New Roman" w:cs="Times New Roman"/>
          <w:b w:val="0"/>
          <w:i w:val="0"/>
          <w:sz w:val="24"/>
        </w:rPr>
        <w:t>sortComparer maintains sorted ids through adapter operations; selectAll follows ids. No Toolkit/Immer execution.</w:t>
      </w:r>
    </w:p>
    <w:p>
      <w:pPr>
        <w:keepLines/>
        <w:ind w:firstLine="0"/>
      </w:pPr>
      <w:r>
        <w:rPr>
          <w:rFonts w:ascii="Times New Roman" w:hAnsi="Times New Roman" w:eastAsia="Times New Roman" w:cs="Times New Roman"/>
          <w:b/>
          <w:i w:val="0"/>
          <w:sz w:val="24"/>
        </w:rPr>
        <w:t>R4</w:t>
      </w:r>
      <w:r>
        <w:t xml:space="preserve"> — </w:t>
      </w:r>
      <w:r>
        <w:rPr>
          <w:rFonts w:ascii="Times New Roman" w:hAnsi="Times New Roman" w:eastAsia="Times New Roman" w:cs="Times New Roman"/>
          <w:b w:val="0"/>
          <w:i w:val="0"/>
          <w:sz w:val="24"/>
        </w:rPr>
        <w:t>Redux maintainers. (n.d.). createAsyncThunk.</w:t>
      </w:r>
      <w:r>
        <w:rPr>
          <w:rFonts w:ascii="Times New Roman" w:hAnsi="Times New Roman" w:eastAsia="Times New Roman" w:cs="Times New Roman"/>
          <w:sz w:val="20"/>
        </w:rPr>
        <w:t xml:space="preserve"> (https://redux.js.org/toolkit/api/createAsyncThunk)</w:t>
      </w:r>
      <w:r>
        <w:t xml:space="preserve">. Role and limit: </w:t>
      </w:r>
      <w:r>
        <w:rPr>
          <w:rFonts w:ascii="Times New Roman" w:hAnsi="Times New Roman" w:eastAsia="Times New Roman" w:cs="Times New Roman"/>
          <w:b w:val="0"/>
          <w:i w:val="0"/>
          <w:sz w:val="24"/>
        </w:rPr>
        <w:t>Lifecycle metadata and application-owned reducers; does not imply global request ordering.</w:t>
      </w:r>
    </w:p>
    <w:p>
      <w:pPr>
        <w:pStyle w:val="Heading1"/>
        <w:keepLines/>
        <w:ind w:firstLine="0"/>
        <w:jc w:val="left"/>
      </w:pPr>
      <w:r>
        <w:rPr>
          <w:rFonts w:ascii="Times New Roman" w:hAnsi="Times New Roman" w:eastAsia="Times New Roman" w:cs="Times New Roman"/>
          <w:b w:val="0"/>
          <w:i w:val="0"/>
          <w:sz w:val="24"/>
        </w:rPr>
        <w:t>Further and next reading</w:t>
      </w:r>
    </w:p>
    <w:p>
      <w:pPr>
        <w:keepLines/>
        <w:jc w:val="both"/>
      </w:pPr>
      <w:r>
        <w:rPr>
          <w:rFonts w:ascii="Times New Roman" w:hAnsi="Times New Roman" w:eastAsia="Times New Roman" w:cs="Times New Roman"/>
          <w:b w:val="0"/>
          <w:i w:val="0"/>
          <w:sz w:val="24"/>
        </w:rPr>
        <w:t>The source recommends Redux’s normalising-state and deriving-data readings for deeper understanding. They are linked as inherited reading, not newly executed validation. The exact next-reading list is canonical/reading-list-next.md, for Lecture 11. This C10 phase does not produce or run the security unit.</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C10_HANDOUT</dc:title>
  <dc:subject>C10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