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ind w:firstLine="0"/>
        <w:jc w:val="left"/>
      </w:pPr>
      <w:r>
        <w:rPr>
          <w:rFonts w:ascii="Times New Roman" w:hAnsi="Times New Roman" w:eastAsia="Times New Roman" w:cs="Times New Roman"/>
          <w:b w:val="0"/>
          <w:i w:val="0"/>
          <w:sz w:val="24"/>
        </w:rPr>
        <w:t>C12 — Realtime Communication and Asynchronous Work</w:t>
      </w:r>
    </w:p>
    <w:p>
      <w:r>
        <w:t xml:space="preserve">RC10 current classroom transfer</w:t>
      </w:r>
    </w:p>
    <w:p>
      <w:r>
        <w:t xml:space="preserve">Current S12 classroom transfer</w:t>
      </w:r>
    </w:p>
    <w:p>
      <w:r>
        <w:t xml:space="preserve">Complete every listed microproject individually in class. These are bounded tasks, not completion of the historical full applications.</w:t>
      </w:r>
    </w:p>
    <w:p>
      <w:r>
        <w:t xml:space="preserve">P01 — HTTP/WebSocket: recipient ownership — editable path from the seminar package root: CLASSROOM_RC6/student/p01.mjs</w:t>
      </w:r>
    </w:p>
    <w:p>
      <w:r>
        <w:t xml:space="preserve">P02 — Queue: terminal state does not regress — editable path from the seminar package root: CLASSROOM_RC6/student/p02.mjs</w:t>
      </w:r>
    </w:p>
    <w:p>
      <w:r>
        <w:t xml:space="preserve">P03 — Dispatcher: correlation and single settlement — editable path from the seminar package root: CLASSROOM_RC6/student/p03.mjs</w:t>
      </w:r>
    </w:p>
    <w:p>
      <w:r>
        <w:t xml:space="preserve">Current entry: ../../../../ENTRY/S12.html</w:t>
      </w:r>
    </w:p>
    <w:p>
      <w:r>
        <w:t xml:space="preserve">Step-by-step tutorial: ../../../../TUTORIALS/S12.html</w:t>
      </w:r>
    </w:p>
    <w:p>
      <w:r>
        <w:t xml:space="preserve">Current evidence form: ../../../S12/WEBTECH_ASE_S12_EN_GB_v1.2.4_RC6/CLASSROOM_RC6/EVIDENCE_FORM.html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keepLines/>
        <w:ind w:firstLine="0"/>
        <w:jc w:val="left"/>
      </w:pPr>
      <w:r>
        <w:rPr>
          <w:rFonts w:ascii="Times New Roman" w:hAnsi="Times New Roman" w:eastAsia="Times New Roman" w:cs="Times New Roman"/>
          <w:b w:val="0"/>
          <w:i w:val="0"/>
          <w:sz w:val="24"/>
        </w:rPr>
        <w:t>Purpose and evidence boundary</w:t>
      </w:r>
    </w:p>
    <w:p>
      <w:pPr>
        <w:keepLines/>
        <w:jc w:val="both"/>
      </w:pPr>
      <w:r>
        <w:rPr>
          <w:rFonts w:ascii="Times New Roman" w:hAnsi="Times New Roman" w:eastAsia="Times New Roman" w:cs="Times New Roman"/>
          <w:b w:val="0"/>
          <w:i w:val="0"/>
          <w:sz w:val="24"/>
        </w:rPr>
        <w:t>Realtime features and asynchronous jobs are not defined by a library name. They are defined by ownership, lifetime, correlation and terminal evidence. This handout follows the exact Unit 12 source headings while applying the approved 60-minute route. It distinguishes source reading, deterministic JavaScript models, real protocol execution and platform acceptance.</w:t>
      </w:r>
    </w:p>
    <w:p>
      <w:pPr>
        <w:keepLines/>
        <w:jc w:val="both"/>
      </w:pPr>
      <w:r>
        <w:rPr>
          <w:rFonts w:ascii="Times New Roman" w:hAnsi="Times New Roman" w:eastAsia="Times New Roman" w:cs="Times New Roman"/>
          <w:b w:val="0"/>
          <w:i w:val="0"/>
          <w:sz w:val="24"/>
        </w:rPr>
        <w:t xml:space="preserve">The organising question is: </w:t>
      </w:r>
      <w:r>
        <w:rPr>
          <w:rFonts w:ascii="Times New Roman" w:hAnsi="Times New Roman" w:eastAsia="Times New Roman" w:cs="Times New Roman"/>
          <w:b/>
          <w:i w:val="0"/>
          <w:sz w:val="24"/>
        </w:rPr>
        <w:t>Who accepts work, who executes it, who owns the later result, which identifier binds the lifecycle and what terminal evidence proves cleanup?</w:t>
      </w:r>
    </w:p>
    <w:p>
      <w:pPr>
        <w:pStyle w:val="Heading1"/>
        <w:keepLines/>
        <w:ind w:firstLine="0"/>
        <w:jc w:val="left"/>
      </w:pPr>
      <w:r>
        <w:rPr>
          <w:rFonts w:ascii="Times New Roman" w:hAnsi="Times New Roman" w:eastAsia="Times New Roman" w:cs="Times New Roman"/>
          <w:b w:val="0"/>
          <w:i w:val="0"/>
          <w:sz w:val="24"/>
        </w:rPr>
        <w:t>The five-owner map</w:t>
      </w:r>
    </w:p>
    <w:tbl>
      <w:tblPr>
        <w:tblStyle w:val="TableGrid"/>
        <w:tblW w:type="auto" w:w="0"/>
        <w:tblLayout w:type="autofit"/>
        <w:tblLook w:firstColumn="1" w:firstRow="1" w:lastColumn="0" w:lastRow="0" w:noHBand="0" w:noVBand="1" w:val="04A0"/>
      </w:tblPr>
      <w:tblGrid>
        <w:gridCol w:w="2416"/>
        <w:gridCol w:w="2416"/>
        <w:gridCol w:w="2416"/>
        <w:gridCol w:w="2416"/>
      </w:tblGrid>
      <w:tr>
        <w:trPr>
          <w:cantSplit/>
          <w:tblHeader/>
        </w:trPr>
        <w:tc>
          <w:tcPr>
            <w:tcW w:type="dxa" w:w="2416"/>
          </w:tcPr>
          <w:p>
            <w:pPr>
              <w:spacing w:after="60" w:line="240" w:lineRule="auto"/>
              <w:ind w:firstLine="0"/>
            </w:pPr>
            <w:r>
              <w:rPr>
                <w:rFonts w:ascii="Times New Roman" w:hAnsi="Times New Roman" w:eastAsia="Times New Roman" w:cs="Times New Roman"/>
                <w:b/>
                <w:i w:val="0"/>
                <w:sz w:val="24"/>
              </w:rPr>
              <w:t>Boundary</w:t>
            </w:r>
          </w:p>
        </w:tc>
        <w:tc>
          <w:tcPr>
            <w:tcW w:type="dxa" w:w="2416"/>
          </w:tcPr>
          <w:p>
            <w:pPr>
              <w:spacing w:after="60" w:line="240" w:lineRule="auto"/>
              <w:ind w:firstLine="0"/>
            </w:pPr>
            <w:r>
              <w:rPr>
                <w:rFonts w:ascii="Times New Roman" w:hAnsi="Times New Roman" w:eastAsia="Times New Roman" w:cs="Times New Roman"/>
                <w:b/>
                <w:i w:val="0"/>
                <w:sz w:val="24"/>
              </w:rPr>
              <w:t>Primary owner</w:t>
            </w:r>
          </w:p>
        </w:tc>
        <w:tc>
          <w:tcPr>
            <w:tcW w:type="dxa" w:w="2416"/>
          </w:tcPr>
          <w:p>
            <w:pPr>
              <w:spacing w:after="60" w:line="240" w:lineRule="auto"/>
              <w:ind w:firstLine="0"/>
            </w:pPr>
            <w:r>
              <w:rPr>
                <w:rFonts w:ascii="Times New Roman" w:hAnsi="Times New Roman" w:eastAsia="Times New Roman" w:cs="Times New Roman"/>
                <w:b/>
                <w:i w:val="0"/>
                <w:sz w:val="24"/>
              </w:rPr>
              <w:t>Minimum evidence</w:t>
            </w:r>
          </w:p>
        </w:tc>
        <w:tc>
          <w:tcPr>
            <w:tcW w:type="dxa" w:w="2416"/>
          </w:tcPr>
          <w:p>
            <w:pPr>
              <w:spacing w:after="60" w:line="240" w:lineRule="auto"/>
              <w:ind w:firstLine="0"/>
            </w:pPr>
            <w:r>
              <w:rPr>
                <w:rFonts w:ascii="Times New Roman" w:hAnsi="Times New Roman" w:eastAsia="Times New Roman" w:cs="Times New Roman"/>
                <w:b/>
                <w:i w:val="0"/>
                <w:sz w:val="24"/>
              </w:rPr>
              <w:t>Typical overclaim</w:t>
            </w:r>
          </w:p>
        </w:tc>
      </w:tr>
      <w:tr>
        <w:trPr>
          <w:cantSplit/>
        </w:trPr>
        <w:tc>
          <w:tcPr>
            <w:tcW w:type="dxa" w:w="2416"/>
          </w:tcPr>
          <w:p>
            <w:pPr>
              <w:spacing w:after="60" w:line="240" w:lineRule="auto"/>
              <w:ind w:firstLine="0"/>
            </w:pPr>
            <w:r>
              <w:rPr>
                <w:rFonts w:ascii="Times New Roman" w:hAnsi="Times New Roman" w:eastAsia="Times New Roman" w:cs="Times New Roman"/>
                <w:b w:val="0"/>
                <w:i w:val="0"/>
                <w:sz w:val="24"/>
              </w:rPr>
              <w:t>Acceptance</w:t>
            </w:r>
          </w:p>
        </w:tc>
        <w:tc>
          <w:tcPr>
            <w:tcW w:type="dxa" w:w="2416"/>
          </w:tcPr>
          <w:p>
            <w:pPr>
              <w:spacing w:after="60" w:line="240" w:lineRule="auto"/>
              <w:ind w:firstLine="0"/>
            </w:pPr>
            <w:r>
              <w:rPr>
                <w:rFonts w:ascii="Times New Roman" w:hAnsi="Times New Roman" w:eastAsia="Times New Roman" w:cs="Times New Roman"/>
                <w:b w:val="0"/>
                <w:i w:val="0"/>
                <w:sz w:val="24"/>
              </w:rPr>
              <w:t>HTTP/API layer</w:t>
            </w:r>
          </w:p>
        </w:tc>
        <w:tc>
          <w:tcPr>
            <w:tcW w:type="dxa" w:w="2416"/>
          </w:tcPr>
          <w:p>
            <w:pPr>
              <w:spacing w:after="60" w:line="240" w:lineRule="auto"/>
              <w:ind w:firstLine="0"/>
            </w:pPr>
            <w:r>
              <w:rPr>
                <w:rFonts w:ascii="Times New Roman" w:hAnsi="Times New Roman" w:eastAsia="Times New Roman" w:cs="Times New Roman"/>
                <w:b w:val="0"/>
                <w:i w:val="0"/>
                <w:sz w:val="24"/>
              </w:rPr>
              <w:t>validation, authorisation and successful enqueue/schedule</w:t>
            </w:r>
          </w:p>
        </w:tc>
        <w:tc>
          <w:tcPr>
            <w:tcW w:type="dxa" w:w="2416"/>
          </w:tcPr>
          <w:p>
            <w:pPr>
              <w:spacing w:after="60" w:line="240" w:lineRule="auto"/>
              <w:ind w:firstLine="0"/>
            </w:pPr>
            <w:r>
              <w:rPr>
                <w:rFonts w:ascii="Times New Roman" w:hAnsi="Times New Roman" w:eastAsia="Times New Roman" w:cs="Times New Roman"/>
                <w:b w:val="0"/>
                <w:i w:val="0"/>
                <w:sz w:val="24"/>
              </w:rPr>
              <w:t>treating 202 as completion</w:t>
            </w:r>
          </w:p>
        </w:tc>
      </w:tr>
      <w:tr>
        <w:trPr>
          <w:cantSplit/>
        </w:trPr>
        <w:tc>
          <w:tcPr>
            <w:tcW w:type="dxa" w:w="2416"/>
          </w:tcPr>
          <w:p>
            <w:pPr>
              <w:spacing w:after="60" w:line="240" w:lineRule="auto"/>
              <w:ind w:firstLine="0"/>
            </w:pPr>
            <w:r>
              <w:rPr>
                <w:rFonts w:ascii="Times New Roman" w:hAnsi="Times New Roman" w:eastAsia="Times New Roman" w:cs="Times New Roman"/>
                <w:b w:val="0"/>
                <w:i w:val="0"/>
                <w:sz w:val="24"/>
              </w:rPr>
              <w:t>Execution</w:t>
            </w:r>
          </w:p>
        </w:tc>
        <w:tc>
          <w:tcPr>
            <w:tcW w:type="dxa" w:w="2416"/>
          </w:tcPr>
          <w:p>
            <w:pPr>
              <w:spacing w:after="60" w:line="240" w:lineRule="auto"/>
              <w:ind w:firstLine="0"/>
            </w:pPr>
            <w:r>
              <w:rPr>
                <w:rFonts w:ascii="Times New Roman" w:hAnsi="Times New Roman" w:eastAsia="Times New Roman" w:cs="Times New Roman"/>
                <w:b w:val="0"/>
                <w:i w:val="0"/>
                <w:sz w:val="24"/>
              </w:rPr>
              <w:t>worker or calculation adapter</w:t>
            </w:r>
          </w:p>
        </w:tc>
        <w:tc>
          <w:tcPr>
            <w:tcW w:type="dxa" w:w="2416"/>
          </w:tcPr>
          <w:p>
            <w:pPr>
              <w:spacing w:after="60" w:line="240" w:lineRule="auto"/>
              <w:ind w:firstLine="0"/>
            </w:pPr>
            <w:r>
              <w:rPr>
                <w:rFonts w:ascii="Times New Roman" w:hAnsi="Times New Roman" w:eastAsia="Times New Roman" w:cs="Times New Roman"/>
                <w:b w:val="0"/>
                <w:i w:val="0"/>
                <w:sz w:val="24"/>
              </w:rPr>
              <w:t>actual start, progress and terminal outcome</w:t>
            </w:r>
          </w:p>
        </w:tc>
        <w:tc>
          <w:tcPr>
            <w:tcW w:type="dxa" w:w="2416"/>
          </w:tcPr>
          <w:p>
            <w:pPr>
              <w:spacing w:after="60" w:line="240" w:lineRule="auto"/>
              <w:ind w:firstLine="0"/>
            </w:pPr>
            <w:r>
              <w:rPr>
                <w:rFonts w:ascii="Times New Roman" w:hAnsi="Times New Roman" w:eastAsia="Times New Roman" w:cs="Times New Roman"/>
                <w:b w:val="0"/>
                <w:i w:val="0"/>
                <w:sz w:val="24"/>
              </w:rPr>
              <w:t>assuming queue acceptance means execution</w:t>
            </w:r>
          </w:p>
        </w:tc>
      </w:tr>
      <w:tr>
        <w:trPr>
          <w:cantSplit/>
        </w:trPr>
        <w:tc>
          <w:tcPr>
            <w:tcW w:type="dxa" w:w="2416"/>
          </w:tcPr>
          <w:p>
            <w:pPr>
              <w:spacing w:after="60" w:line="240" w:lineRule="auto"/>
              <w:ind w:firstLine="0"/>
            </w:pPr>
            <w:r>
              <w:rPr>
                <w:rFonts w:ascii="Times New Roman" w:hAnsi="Times New Roman" w:eastAsia="Times New Roman" w:cs="Times New Roman"/>
                <w:b w:val="0"/>
                <w:i w:val="0"/>
                <w:sz w:val="24"/>
              </w:rPr>
              <w:t>Projection</w:t>
            </w:r>
          </w:p>
        </w:tc>
        <w:tc>
          <w:tcPr>
            <w:tcW w:type="dxa" w:w="2416"/>
          </w:tcPr>
          <w:p>
            <w:pPr>
              <w:spacing w:after="60" w:line="240" w:lineRule="auto"/>
              <w:ind w:firstLine="0"/>
            </w:pPr>
            <w:r>
              <w:rPr>
                <w:rFonts w:ascii="Times New Roman" w:hAnsi="Times New Roman" w:eastAsia="Times New Roman" w:cs="Times New Roman"/>
                <w:b w:val="0"/>
                <w:i w:val="0"/>
                <w:sz w:val="24"/>
              </w:rPr>
              <w:t>application state layer</w:t>
            </w:r>
          </w:p>
        </w:tc>
        <w:tc>
          <w:tcPr>
            <w:tcW w:type="dxa" w:w="2416"/>
          </w:tcPr>
          <w:p>
            <w:pPr>
              <w:spacing w:after="60" w:line="240" w:lineRule="auto"/>
              <w:ind w:firstLine="0"/>
            </w:pPr>
            <w:r>
              <w:rPr>
                <w:rFonts w:ascii="Times New Roman" w:hAnsi="Times New Roman" w:eastAsia="Times New Roman" w:cs="Times New Roman"/>
                <w:b w:val="0"/>
                <w:i w:val="0"/>
                <w:sz w:val="24"/>
              </w:rPr>
              <w:t>owner-scoped monotonic state</w:t>
            </w:r>
          </w:p>
        </w:tc>
        <w:tc>
          <w:tcPr>
            <w:tcW w:type="dxa" w:w="2416"/>
          </w:tcPr>
          <w:p>
            <w:pPr>
              <w:spacing w:after="60" w:line="240" w:lineRule="auto"/>
              <w:ind w:firstLine="0"/>
            </w:pPr>
            <w:r>
              <w:rPr>
                <w:rFonts w:ascii="Times New Roman" w:hAnsi="Times New Roman" w:eastAsia="Times New Roman" w:cs="Times New Roman"/>
                <w:b w:val="0"/>
                <w:i w:val="0"/>
                <w:sz w:val="24"/>
              </w:rPr>
              <w:t>exposing queue internals as public truth</w:t>
            </w:r>
          </w:p>
        </w:tc>
      </w:tr>
      <w:tr>
        <w:trPr>
          <w:cantSplit/>
        </w:trPr>
        <w:tc>
          <w:tcPr>
            <w:tcW w:type="dxa" w:w="2416"/>
          </w:tcPr>
          <w:p>
            <w:pPr>
              <w:spacing w:after="60" w:line="240" w:lineRule="auto"/>
              <w:ind w:firstLine="0"/>
            </w:pPr>
            <w:r>
              <w:rPr>
                <w:rFonts w:ascii="Times New Roman" w:hAnsi="Times New Roman" w:eastAsia="Times New Roman" w:cs="Times New Roman"/>
                <w:b w:val="0"/>
                <w:i w:val="0"/>
                <w:sz w:val="24"/>
              </w:rPr>
              <w:t>Delivery</w:t>
            </w:r>
          </w:p>
        </w:tc>
        <w:tc>
          <w:tcPr>
            <w:tcW w:type="dxa" w:w="2416"/>
          </w:tcPr>
          <w:p>
            <w:pPr>
              <w:spacing w:after="60" w:line="240" w:lineRule="auto"/>
              <w:ind w:firstLine="0"/>
            </w:pPr>
            <w:r>
              <w:rPr>
                <w:rFonts w:ascii="Times New Roman" w:hAnsi="Times New Roman" w:eastAsia="Times New Roman" w:cs="Times New Roman"/>
                <w:b w:val="0"/>
                <w:i w:val="0"/>
                <w:sz w:val="24"/>
              </w:rPr>
              <w:t>event channel/dispatcher</w:t>
            </w:r>
          </w:p>
        </w:tc>
        <w:tc>
          <w:tcPr>
            <w:tcW w:type="dxa" w:w="2416"/>
          </w:tcPr>
          <w:p>
            <w:pPr>
              <w:spacing w:after="60" w:line="240" w:lineRule="auto"/>
              <w:ind w:firstLine="0"/>
            </w:pPr>
            <w:r>
              <w:rPr>
                <w:rFonts w:ascii="Times New Roman" w:hAnsi="Times New Roman" w:eastAsia="Times New Roman" w:cs="Times New Roman"/>
                <w:b w:val="0"/>
                <w:i w:val="0"/>
                <w:sz w:val="24"/>
              </w:rPr>
              <w:t>trusted recipient and correlation ID</w:t>
            </w:r>
          </w:p>
        </w:tc>
        <w:tc>
          <w:tcPr>
            <w:tcW w:type="dxa" w:w="2416"/>
          </w:tcPr>
          <w:p>
            <w:pPr>
              <w:spacing w:after="60" w:line="240" w:lineRule="auto"/>
              <w:ind w:firstLine="0"/>
            </w:pPr>
            <w:r>
              <w:rPr>
                <w:rFonts w:ascii="Times New Roman" w:hAnsi="Times New Roman" w:eastAsia="Times New Roman" w:cs="Times New Roman"/>
                <w:b w:val="0"/>
                <w:i w:val="0"/>
                <w:sz w:val="24"/>
              </w:rPr>
              <w:t>broadcasting private results</w:t>
            </w:r>
          </w:p>
        </w:tc>
      </w:tr>
      <w:tr>
        <w:trPr>
          <w:cantSplit/>
        </w:trPr>
        <w:tc>
          <w:tcPr>
            <w:tcW w:type="dxa" w:w="2416"/>
          </w:tcPr>
          <w:p>
            <w:pPr>
              <w:spacing w:after="60" w:line="240" w:lineRule="auto"/>
              <w:ind w:firstLine="0"/>
            </w:pPr>
            <w:r>
              <w:rPr>
                <w:rFonts w:ascii="Times New Roman" w:hAnsi="Times New Roman" w:eastAsia="Times New Roman" w:cs="Times New Roman"/>
                <w:b w:val="0"/>
                <w:i w:val="0"/>
                <w:sz w:val="24"/>
              </w:rPr>
              <w:t>Cleanup</w:t>
            </w:r>
          </w:p>
        </w:tc>
        <w:tc>
          <w:tcPr>
            <w:tcW w:type="dxa" w:w="2416"/>
          </w:tcPr>
          <w:p>
            <w:pPr>
              <w:spacing w:after="60" w:line="240" w:lineRule="auto"/>
              <w:ind w:firstLine="0"/>
            </w:pPr>
            <w:r>
              <w:rPr>
                <w:rFonts w:ascii="Times New Roman" w:hAnsi="Times New Roman" w:eastAsia="Times New Roman" w:cs="Times New Roman"/>
                <w:b w:val="0"/>
                <w:i w:val="0"/>
                <w:sz w:val="24"/>
              </w:rPr>
              <w:t>component that created the resource</w:t>
            </w:r>
          </w:p>
        </w:tc>
        <w:tc>
          <w:tcPr>
            <w:tcW w:type="dxa" w:w="2416"/>
          </w:tcPr>
          <w:p>
            <w:pPr>
              <w:spacing w:after="60" w:line="240" w:lineRule="auto"/>
              <w:ind w:firstLine="0"/>
            </w:pPr>
            <w:r>
              <w:rPr>
                <w:rFonts w:ascii="Times New Roman" w:hAnsi="Times New Roman" w:eastAsia="Times New Roman" w:cs="Times New Roman"/>
                <w:b w:val="0"/>
                <w:i w:val="0"/>
                <w:sz w:val="24"/>
              </w:rPr>
              <w:t>pending/listener/timer/client counts return to zero/closed</w:t>
            </w:r>
          </w:p>
        </w:tc>
        <w:tc>
          <w:tcPr>
            <w:tcW w:type="dxa" w:w="2416"/>
          </w:tcPr>
          <w:p>
            <w:pPr>
              <w:spacing w:after="60" w:line="240" w:lineRule="auto"/>
              <w:ind w:firstLine="0"/>
            </w:pPr>
            <w:r>
              <w:rPr>
                <w:rFonts w:ascii="Times New Roman" w:hAnsi="Times New Roman" w:eastAsia="Times New Roman" w:cs="Times New Roman"/>
                <w:b w:val="0"/>
                <w:i w:val="0"/>
                <w:sz w:val="24"/>
              </w:rPr>
              <w:t>settling the promise but leaking resources</w:t>
            </w:r>
          </w:p>
        </w:tc>
      </w:tr>
    </w:tbl>
    <w:p>
      <w:pPr>
        <w:pStyle w:val="Heading1"/>
        <w:keepLines/>
        <w:ind w:firstLine="0"/>
        <w:jc w:val="left"/>
      </w:pPr>
      <w:r>
        <w:rPr>
          <w:rFonts w:ascii="Times New Roman" w:hAnsi="Times New Roman" w:eastAsia="Times New Roman" w:cs="Times New Roman"/>
          <w:b w:val="0"/>
          <w:i w:val="0"/>
          <w:sz w:val="24"/>
        </w:rPr>
        <w:t>1. HTTP request/response has one response</w:t>
      </w:r>
    </w:p>
    <w:p>
      <w:pPr>
        <w:keepLines/>
        <w:jc w:val="both"/>
      </w:pPr>
      <w:r>
        <w:rPr>
          <w:rFonts w:ascii="Times New Roman" w:hAnsi="Times New Roman" w:eastAsia="Times New Roman" w:cs="Times New Roman"/>
          <w:b w:val="0"/>
          <w:i w:val="0"/>
          <w:sz w:val="24"/>
        </w:rPr>
        <w:t>A request/response exchange has one response. Holding it open for unrelated long work ties resource lifetime to a transport that may disconnect, retry or time out.</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2. Polling asks repeatedly</w:t>
      </w:r>
    </w:p>
    <w:p>
      <w:pPr>
        <w:keepLines/>
        <w:jc w:val="both"/>
      </w:pPr>
      <w:r>
        <w:rPr>
          <w:rFonts w:ascii="Times New Roman" w:hAnsi="Times New Roman" w:eastAsia="Times New Roman" w:cs="Times New Roman"/>
          <w:b w:val="0"/>
          <w:i w:val="0"/>
          <w:sz w:val="24"/>
        </w:rPr>
        <w:t>Polling repeats an observation request. It is simple and reconnect-friendly, but its interval governs both delay and request volume.</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3. Worked example — polling versus push timeline</w:t>
      </w:r>
    </w:p>
    <w:p>
      <w:pPr>
        <w:keepLines/>
        <w:jc w:val="both"/>
      </w:pPr>
      <w:r>
        <w:rPr>
          <w:rFonts w:ascii="Times New Roman" w:hAnsi="Times New Roman" w:eastAsia="Times New Roman" w:cs="Times New Roman"/>
          <w:b w:val="0"/>
          <w:i w:val="0"/>
          <w:sz w:val="24"/>
        </w:rPr>
        <w:t>The canonical timeline illustrates the trade-off between frequent polling and a push channel. It omits real network, reconnect and backpressure costs.</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4. SSE is one-way server push</w:t>
      </w:r>
    </w:p>
    <w:p>
      <w:pPr>
        <w:keepLines/>
        <w:jc w:val="both"/>
      </w:pPr>
      <w:r>
        <w:rPr>
          <w:rFonts w:ascii="Times New Roman" w:hAnsi="Times New Roman" w:eastAsia="Times New Roman" w:cs="Times New Roman"/>
          <w:b w:val="0"/>
          <w:i w:val="0"/>
          <w:sz w:val="24"/>
        </w:rPr>
        <w:t>Server-sent events provide one-way server push over HTTP semantics. They fit progress and notifications when commands remain ordinary HTTP requests.</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5. WebSockets are bidirectional</w:t>
      </w:r>
    </w:p>
    <w:p>
      <w:pPr>
        <w:keepLines/>
        <w:jc w:val="both"/>
      </w:pPr>
      <w:r>
        <w:rPr>
          <w:rFonts w:ascii="Times New Roman" w:hAnsi="Times New Roman" w:eastAsia="Times New Roman" w:cs="Times New Roman"/>
          <w:b w:val="0"/>
          <w:i w:val="0"/>
          <w:sz w:val="24"/>
        </w:rPr>
        <w:t>WebSockets provide a bidirectional message channel. The capability is useful only when the application accepts the extra lifecycle, validation and routing duties.</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 xml:space="preserve">6. Choose from required behaviour</w:t>
      </w:r>
    </w:p>
    <w:p>
      <w:pPr>
        <w:keepLines/>
        <w:jc w:val="both"/>
      </w:pPr>
      <w:r>
        <w:rPr>
          <w:rFonts w:ascii="Times New Roman" w:hAnsi="Times New Roman" w:eastAsia="Times New Roman" w:cs="Times New Roman"/>
          <w:b w:val="0"/>
          <w:i w:val="0"/>
          <w:sz w:val="24"/>
        </w:rPr>
        <w:t>Choose a transport from direction, update frequency, latency, replay, reconnect, infrastructure and client support. Novelty is not a requirement.</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7. A socket is transient</w:t>
      </w:r>
    </w:p>
    <w:p>
      <w:pPr>
        <w:keepLines/>
        <w:jc w:val="both"/>
      </w:pPr>
      <w:r>
        <w:rPr>
          <w:rFonts w:ascii="Times New Roman" w:hAnsi="Times New Roman" w:eastAsia="Times New Roman" w:cs="Times New Roman"/>
          <w:b w:val="0"/>
          <w:i w:val="0"/>
          <w:sz w:val="24"/>
        </w:rPr>
        <w:t>A socket is transient. It can be replaced, closed or moved between processes, so it must not be treated as durable user identity.</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8. Registry keys need compound identity</w:t>
      </w:r>
    </w:p>
    <w:p>
      <w:pPr>
        <w:keepLines/>
        <w:jc w:val="both"/>
      </w:pPr>
      <w:r>
        <w:rPr>
          <w:rFonts w:ascii="Times New Roman" w:hAnsi="Times New Roman" w:eastAsia="Times New Roman" w:cs="Times New Roman"/>
          <w:b w:val="0"/>
          <w:i w:val="0"/>
          <w:sz w:val="24"/>
        </w:rPr>
        <w:t>A registry key must bind trusted principal identity and client connection identity without ambiguous concatenation.</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9. Reconnect replaces one exact connection</w:t>
      </w:r>
    </w:p>
    <w:p>
      <w:pPr>
        <w:keepLines/>
        <w:jc w:val="both"/>
      </w:pPr>
      <w:r>
        <w:rPr>
          <w:rFonts w:ascii="Times New Roman" w:hAnsi="Times New Roman" w:eastAsia="Times New Roman" w:cs="Times New Roman"/>
          <w:b w:val="0"/>
          <w:i w:val="0"/>
          <w:sz w:val="24"/>
        </w:rPr>
        <w:t>Reconnect replaces one exact connection. Late cleanup from the old instance must be conditional on registry identity.</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10. Worked example — connection registry trace</w:t>
      </w:r>
    </w:p>
    <w:p>
      <w:pPr>
        <w:keepLines/>
        <w:jc w:val="both"/>
      </w:pPr>
      <w:r>
        <w:rPr>
          <w:rFonts w:ascii="Times New Roman" w:hAnsi="Times New Roman" w:eastAsia="Times New Roman" w:cs="Times New Roman"/>
          <w:b w:val="0"/>
          <w:i w:val="0"/>
          <w:sz w:val="24"/>
        </w:rPr>
        <w:t>The exact example demonstrates registry replacement and cleanup, but its header-derived fixture identity and delimiter key are deliberately limited.</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11. Delivery must be targeted</w:t>
      </w:r>
    </w:p>
    <w:p>
      <w:pPr>
        <w:keepLines/>
        <w:jc w:val="both"/>
      </w:pPr>
      <w:r>
        <w:rPr>
          <w:rFonts w:ascii="Times New Roman" w:hAnsi="Times New Roman" w:eastAsia="Times New Roman" w:cs="Times New Roman"/>
          <w:b w:val="0"/>
          <w:i w:val="0"/>
          <w:sz w:val="24"/>
        </w:rPr>
        <w:t>Private results require targeted delivery. Broadcast plus client-side filtering is not a valid confidentiality or correlation strategy.</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12. Single-process registries have a scaling boundary</w:t>
      </w:r>
    </w:p>
    <w:p>
      <w:pPr>
        <w:keepLines/>
        <w:jc w:val="both"/>
      </w:pPr>
      <w:r>
        <w:rPr>
          <w:rFonts w:ascii="Times New Roman" w:hAnsi="Times New Roman" w:eastAsia="Times New Roman" w:cs="Times New Roman"/>
          <w:b w:val="0"/>
          <w:i w:val="0"/>
          <w:sz w:val="24"/>
        </w:rPr>
        <w:t>A process-local registry does not automatically work across multiple server instances. Shared routing or explicit sticky ownership is separate architecture.</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 xml:space="preserve">13. </w:t>
      </w:r>
      <w:r>
        <w:rPr>
          <w:rFonts w:ascii="Consolas" w:hAnsi="Consolas" w:eastAsia="Consolas" w:cs="Consolas"/>
          <w:b w:val="0"/>
          <w:i w:val="0"/>
          <w:sz w:val="20"/>
        </w:rPr>
        <w:t>202 Accepted</w:t>
      </w:r>
      <w:r>
        <w:rPr>
          <w:rFonts w:ascii="Times New Roman" w:hAnsi="Times New Roman" w:eastAsia="Times New Roman" w:cs="Times New Roman"/>
          <w:b w:val="0"/>
          <w:i w:val="0"/>
          <w:sz w:val="24"/>
        </w:rPr>
        <w:t xml:space="preserve"> is not success completion</w:t>
      </w:r>
    </w:p>
    <w:p>
      <w:pPr>
        <w:keepLines/>
        <w:jc w:val="both"/>
      </w:pPr>
      <w:r>
        <w:rPr>
          <w:rFonts w:ascii="Times New Roman" w:hAnsi="Times New Roman" w:eastAsia="Times New Roman" w:cs="Times New Roman"/>
          <w:b w:val="0"/>
          <w:i w:val="0"/>
          <w:sz w:val="24"/>
        </w:rPr>
        <w:t>HTTP 202 is deliberately noncommittal. It acknowledges acceptance for processing and cannot report eventual success.</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14. Enqueue before accepting</w:t>
      </w:r>
    </w:p>
    <w:p>
      <w:pPr>
        <w:keepLines/>
        <w:jc w:val="both"/>
      </w:pPr>
      <w:r>
        <w:rPr>
          <w:rFonts w:ascii="Times New Roman" w:hAnsi="Times New Roman" w:eastAsia="Times New Roman" w:cs="Times New Roman"/>
          <w:b w:val="0"/>
          <w:i w:val="0"/>
          <w:sz w:val="24"/>
        </w:rPr>
        <w:t>Validation, authorisation and successful enqueue precede acceptance. A queue error must not produce false 202 metadata.</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15. Worked example — accepted job contract</w:t>
      </w:r>
    </w:p>
    <w:p>
      <w:pPr>
        <w:keepLines/>
        <w:jc w:val="both"/>
      </w:pPr>
      <w:r>
        <w:rPr>
          <w:rFonts w:ascii="Times New Roman" w:hAnsi="Times New Roman" w:eastAsia="Times New Roman" w:cs="Times New Roman"/>
          <w:b w:val="0"/>
          <w:i w:val="0"/>
          <w:sz w:val="24"/>
        </w:rPr>
        <w:t>The example emits an opaque job identifier and Location but omits the corresponding status GET route; teach the boundary honestly.</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16. Queue separates producer and worker</w:t>
      </w:r>
    </w:p>
    <w:p>
      <w:pPr>
        <w:keepLines/>
        <w:jc w:val="both"/>
      </w:pPr>
      <w:r>
        <w:rPr>
          <w:rFonts w:ascii="Times New Roman" w:hAnsi="Times New Roman" w:eastAsia="Times New Roman" w:cs="Times New Roman"/>
          <w:b w:val="0"/>
          <w:i w:val="0"/>
          <w:sz w:val="24"/>
        </w:rPr>
        <w:t>A queue separates the producer that accepts work from the worker that performs it. Each layer owns different failure and cleanup paths.</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17. Job payloads should be minimal</w:t>
      </w:r>
    </w:p>
    <w:p>
      <w:pPr>
        <w:keepLines/>
        <w:jc w:val="both"/>
      </w:pPr>
      <w:r>
        <w:rPr>
          <w:rFonts w:ascii="Times New Roman" w:hAnsi="Times New Roman" w:eastAsia="Times New Roman" w:cs="Times New Roman"/>
          <w:b w:val="0"/>
          <w:i w:val="0"/>
          <w:sz w:val="24"/>
        </w:rPr>
        <w:t>Minimal payloads reduce leakage and stale authority. Put identifiers and required inputs in a job, not session tokens or entire user profiles.</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18. Workers own processing, not HTTP</w:t>
      </w:r>
    </w:p>
    <w:p>
      <w:pPr>
        <w:keepLines/>
        <w:jc w:val="both"/>
      </w:pPr>
      <w:r>
        <w:rPr>
          <w:rFonts w:ascii="Times New Roman" w:hAnsi="Times New Roman" w:eastAsia="Times New Roman" w:cs="Times New Roman"/>
          <w:b w:val="0"/>
          <w:i w:val="0"/>
          <w:sz w:val="24"/>
        </w:rPr>
        <w:t>The worker owns processing and returns a result to the queue system. It does not own the original HTTP response object.</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19. Retries require idempotency reasoning</w:t>
      </w:r>
    </w:p>
    <w:p>
      <w:pPr>
        <w:keepLines/>
        <w:jc w:val="both"/>
      </w:pPr>
      <w:r>
        <w:rPr>
          <w:rFonts w:ascii="Times New Roman" w:hAnsi="Times New Roman" w:eastAsia="Times New Roman" w:cs="Times New Roman"/>
          <w:b w:val="0"/>
          <w:i w:val="0"/>
          <w:sz w:val="24"/>
        </w:rPr>
        <w:t>Retries can repeat execution. Idempotency or transaction design is required for business effects that must not be duplicated.</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20. Public state is a projection</w:t>
      </w:r>
    </w:p>
    <w:p>
      <w:pPr>
        <w:keepLines/>
        <w:jc w:val="both"/>
      </w:pPr>
      <w:r>
        <w:rPr>
          <w:rFonts w:ascii="Times New Roman" w:hAnsi="Times New Roman" w:eastAsia="Times New Roman" w:cs="Times New Roman"/>
          <w:b w:val="0"/>
          <w:i w:val="0"/>
          <w:sz w:val="24"/>
        </w:rPr>
        <w:t>Public job state is an application projection. It should hide queue internals and expose stable owner-scoped states and sanitised outcomes.</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21. Progress must be monotonic</w:t>
      </w:r>
    </w:p>
    <w:p>
      <w:pPr>
        <w:keepLines/>
        <w:jc w:val="both"/>
      </w:pPr>
      <w:r>
        <w:rPr>
          <w:rFonts w:ascii="Times New Roman" w:hAnsi="Times New Roman" w:eastAsia="Times New Roman" w:cs="Times New Roman"/>
          <w:b w:val="0"/>
          <w:i w:val="0"/>
          <w:sz w:val="24"/>
        </w:rPr>
        <w:t>Progress should be monotonic and terminal states stable. The audited reference also republishes equal progress, which is distinct from regression.</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22. Worked example — BullMQ job lifecycle</w:t>
      </w:r>
    </w:p>
    <w:p>
      <w:pPr>
        <w:keepLines/>
        <w:jc w:val="both"/>
      </w:pPr>
      <w:r>
        <w:rPr>
          <w:rFonts w:ascii="Times New Roman" w:hAnsi="Times New Roman" w:eastAsia="Times New Roman" w:cs="Times New Roman"/>
          <w:b w:val="0"/>
          <w:i w:val="0"/>
          <w:sz w:val="24"/>
        </w:rPr>
        <w:t>The BullMQ example is a source anchor with a real dependency graph, but Redis, BullMQ and its integration path are not executed in this package.</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23. Owner scope protects results</w:t>
      </w:r>
    </w:p>
    <w:p>
      <w:pPr>
        <w:keepLines/>
        <w:jc w:val="both"/>
      </w:pPr>
      <w:r>
        <w:rPr>
          <w:rFonts w:ascii="Times New Roman" w:hAnsi="Times New Roman" w:eastAsia="Times New Roman" w:cs="Times New Roman"/>
          <w:b w:val="0"/>
          <w:i w:val="0"/>
          <w:sz w:val="24"/>
        </w:rPr>
        <w:t>Job results must be owner-scoped. Unknown or other-owner identifiers should be concealed according to policy.</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 xml:space="preserve">24. Close queues, workers and Redis clients</w:t>
      </w:r>
    </w:p>
    <w:p>
      <w:pPr>
        <w:keepLines/>
        <w:jc w:val="both"/>
      </w:pPr>
      <w:r>
        <w:rPr>
          <w:rFonts w:ascii="Times New Roman" w:hAnsi="Times New Roman" w:eastAsia="Times New Roman" w:cs="Times New Roman"/>
          <w:b w:val="0"/>
          <w:i w:val="0"/>
          <w:sz w:val="24"/>
        </w:rPr>
        <w:t>Queues, workers, event listeners and Redis clients require explicit closure. Resource counts are part of correctness.</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25. One channel carries many replies</w:t>
      </w:r>
    </w:p>
    <w:p>
      <w:pPr>
        <w:keepLines/>
        <w:jc w:val="both"/>
      </w:pPr>
      <w:r>
        <w:rPr>
          <w:rFonts w:ascii="Times New Roman" w:hAnsi="Times New Roman" w:eastAsia="Times New Roman" w:cs="Times New Roman"/>
          <w:b w:val="0"/>
          <w:i w:val="0"/>
          <w:sz w:val="24"/>
        </w:rPr>
        <w:t>A shared channel carries many replies, so every request needs an opaque correlation identifier.</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26. Install pending state before sending</w:t>
      </w:r>
    </w:p>
    <w:p>
      <w:pPr>
        <w:keepLines/>
        <w:jc w:val="both"/>
      </w:pPr>
      <w:r>
        <w:rPr>
          <w:rFonts w:ascii="Times New Roman" w:hAnsi="Times New Roman" w:eastAsia="Times New Roman" w:cs="Times New Roman"/>
          <w:b w:val="0"/>
          <w:i w:val="0"/>
          <w:sz w:val="24"/>
        </w:rPr>
        <w:t>Install pending state before sending. Otherwise a synchronous or extremely fast response can arrive before the caller is registered.</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27. Pending entries own terminal resources</w:t>
      </w:r>
    </w:p>
    <w:p>
      <w:pPr>
        <w:keepLines/>
        <w:jc w:val="both"/>
      </w:pPr>
      <w:r>
        <w:rPr>
          <w:rFonts w:ascii="Times New Roman" w:hAnsi="Times New Roman" w:eastAsia="Times New Roman" w:cs="Times New Roman"/>
          <w:b w:val="0"/>
          <w:i w:val="0"/>
          <w:sz w:val="24"/>
        </w:rPr>
        <w:t>A pending entry owns resolve/reject callbacks, timeout state, abort cleanup and the expected result type.</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28. Correlation selects the promise</w:t>
      </w:r>
    </w:p>
    <w:p>
      <w:pPr>
        <w:keepLines/>
        <w:jc w:val="both"/>
      </w:pPr>
      <w:r>
        <w:rPr>
          <w:rFonts w:ascii="Times New Roman" w:hAnsi="Times New Roman" w:eastAsia="Times New Roman" w:cs="Times New Roman"/>
          <w:b w:val="0"/>
          <w:i w:val="0"/>
          <w:sz w:val="24"/>
        </w:rPr>
        <w:t>Correlation selects the promise. Arrival order is irrelevant once the message carries the correct request identifier.</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29. Worked example — correlated dispatcher</w:t>
      </w:r>
    </w:p>
    <w:p>
      <w:pPr>
        <w:keepLines/>
        <w:jc w:val="both"/>
      </w:pPr>
      <w:r>
        <w:rPr>
          <w:rFonts w:ascii="Times New Roman" w:hAnsi="Times New Roman" w:eastAsia="Times New Roman" w:cs="Times New Roman"/>
          <w:b w:val="0"/>
          <w:i w:val="0"/>
          <w:sz w:val="24"/>
        </w:rPr>
        <w:t>The canonical dispatcher demonstrates reversed replies and ignored late unknown messages, but it has documented close and ID-reuse limits.</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30. Failure has many terminal paths</w:t>
      </w:r>
    </w:p>
    <w:p>
      <w:pPr>
        <w:keepLines/>
        <w:jc w:val="both"/>
      </w:pPr>
      <w:r>
        <w:rPr>
          <w:rFonts w:ascii="Times New Roman" w:hAnsi="Times New Roman" w:eastAsia="Times New Roman" w:cs="Times New Roman"/>
          <w:b w:val="0"/>
          <w:i w:val="0"/>
          <w:sz w:val="24"/>
        </w:rPr>
        <w:t>Remote failure, local send failure, timeout, abort, transport close and disposal are different terminal paths with one cleanup invariant.</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31. Timeout is not remote cancellation</w:t>
      </w:r>
    </w:p>
    <w:p>
      <w:pPr>
        <w:keepLines/>
        <w:jc w:val="both"/>
      </w:pPr>
      <w:r>
        <w:rPr>
          <w:rFonts w:ascii="Times New Roman" w:hAnsi="Times New Roman" w:eastAsia="Times New Roman" w:cs="Times New Roman"/>
          <w:b w:val="0"/>
          <w:i w:val="0"/>
          <w:sz w:val="24"/>
        </w:rPr>
        <w:t>A timeout stops local waiting. It does not cancel remote work unless the protocol defines and confirms cancellation.</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32. Transport close rejects all pending work</w:t>
      </w:r>
    </w:p>
    <w:p>
      <w:pPr>
        <w:keepLines/>
        <w:jc w:val="both"/>
      </w:pPr>
      <w:r>
        <w:rPr>
          <w:rFonts w:ascii="Times New Roman" w:hAnsi="Times New Roman" w:eastAsia="Times New Roman" w:cs="Times New Roman"/>
          <w:b w:val="0"/>
          <w:i w:val="0"/>
          <w:sz w:val="24"/>
        </w:rPr>
        <w:t>Transport close must reject all current pending work. Whether future dispatch is allowed needs an explicit state policy.</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33. Disposal is idempotent</w:t>
      </w:r>
    </w:p>
    <w:p>
      <w:pPr>
        <w:keepLines/>
        <w:jc w:val="both"/>
      </w:pPr>
      <w:r>
        <w:rPr>
          <w:rFonts w:ascii="Times New Roman" w:hAnsi="Times New Roman" w:eastAsia="Times New Roman" w:cs="Times New Roman"/>
          <w:b w:val="0"/>
          <w:i w:val="0"/>
          <w:sz w:val="24"/>
        </w:rPr>
        <w:t>Dispose should be idempotent, unsubscribe global listeners, reject pending requests, clear resources and refuse new work.</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34. Instrument lifecycle counts</w:t>
      </w:r>
    </w:p>
    <w:p>
      <w:pPr>
        <w:keepLines/>
        <w:jc w:val="both"/>
      </w:pPr>
      <w:r>
        <w:rPr>
          <w:rFonts w:ascii="Times New Roman" w:hAnsi="Times New Roman" w:eastAsia="Times New Roman" w:cs="Times New Roman"/>
          <w:b w:val="0"/>
          <w:i w:val="0"/>
          <w:sz w:val="24"/>
        </w:rPr>
        <w:t>Instrument pending entries, listeners, timers, connections, queue clients and workers. Each success or failure path should return owned resources to zero or closed.</w:t>
      </w:r>
    </w:p>
    <w:p>
      <w:pPr>
        <w:keepLines/>
        <w:jc w:val="both"/>
      </w:pPr>
      <w:r>
        <w:rPr>
          <w:rFonts w:ascii="Times New Roman" w:hAnsi="Times New Roman" w:eastAsia="Times New Roman" w:cs="Times New Roman"/>
          <w:b/>
          <w:i w:val="0"/>
          <w:sz w:val="24"/>
        </w:rPr>
        <w:t>Evidence boundary.</w:t>
      </w:r>
      <w:r>
        <w:rPr>
          <w:rFonts w:ascii="Times New Roman" w:hAnsi="Times New Roman" w:eastAsia="Times New Roman" w:cs="Times New Roman"/>
          <w:b w:val="0"/>
          <w:i w:val="0"/>
          <w:sz w:val="24"/>
        </w:rPr>
        <w:t xml:space="preserve"> This topic is taught from the exact source, a named fixed model or a bounded helper. It is not a claim of Express, Redis, BullMQ, WebSocket, browser or platform execution unless a later qualification record explicitly says so.</w:t>
      </w:r>
    </w:p>
    <w:p>
      <w:pPr>
        <w:pStyle w:val="Heading1"/>
        <w:keepLines/>
        <w:ind w:firstLine="0"/>
        <w:jc w:val="left"/>
      </w:pPr>
      <w:r>
        <w:rPr>
          <w:rFonts w:ascii="Times New Roman" w:hAnsi="Times New Roman" w:eastAsia="Times New Roman" w:cs="Times New Roman"/>
          <w:b w:val="0"/>
          <w:i w:val="0"/>
          <w:sz w:val="24"/>
        </w:rPr>
        <w:t>Project roles for Week 12</w:t>
      </w:r>
    </w:p>
    <w:tbl>
      <w:tblPr>
        <w:tblStyle w:val="TableGrid"/>
        <w:tblW w:type="auto" w:w="0"/>
        <w:tblLayout w:type="autofit"/>
        <w:tblLook w:firstColumn="1" w:firstRow="1" w:lastColumn="0" w:lastRow="0" w:noHBand="0" w:noVBand="1" w:val="04A0"/>
      </w:tblPr>
      <w:tblGrid>
        <w:gridCol w:w="2416"/>
        <w:gridCol w:w="2416"/>
        <w:gridCol w:w="2416"/>
        <w:gridCol w:w="2416"/>
      </w:tblGrid>
      <w:tr>
        <w:trPr>
          <w:cantSplit/>
          <w:tblHeader/>
        </w:trPr>
        <w:tc>
          <w:tcPr>
            <w:tcW w:type="dxa" w:w="2416"/>
          </w:tcPr>
          <w:p>
            <w:pPr>
              <w:spacing w:after="60" w:line="240" w:lineRule="auto"/>
              <w:ind w:firstLine="0"/>
            </w:pPr>
            <w:r>
              <w:rPr>
                <w:rFonts w:ascii="Times New Roman" w:hAnsi="Times New Roman" w:eastAsia="Times New Roman" w:cs="Times New Roman"/>
                <w:b/>
                <w:i w:val="0"/>
                <w:sz w:val="24"/>
              </w:rPr>
              <w:t>Project</w:t>
            </w:r>
          </w:p>
        </w:tc>
        <w:tc>
          <w:tcPr>
            <w:tcW w:type="dxa" w:w="2416"/>
          </w:tcPr>
          <w:p>
            <w:pPr>
              <w:spacing w:after="60" w:line="240" w:lineRule="auto"/>
              <w:ind w:firstLine="0"/>
            </w:pPr>
            <w:r>
              <w:rPr>
                <w:rFonts w:ascii="Times New Roman" w:hAnsi="Times New Roman" w:eastAsia="Times New Roman" w:cs="Times New Roman"/>
                <w:b/>
                <w:i w:val="0"/>
                <w:sz w:val="24"/>
              </w:rPr>
              <w:t>Active role</w:t>
            </w:r>
          </w:p>
        </w:tc>
        <w:tc>
          <w:tcPr>
            <w:tcW w:type="dxa" w:w="2416"/>
          </w:tcPr>
          <w:p>
            <w:pPr>
              <w:spacing w:after="60" w:line="240" w:lineRule="auto"/>
              <w:ind w:firstLine="0"/>
            </w:pPr>
            <w:r>
              <w:rPr>
                <w:rFonts w:ascii="Times New Roman" w:hAnsi="Times New Roman" w:eastAsia="Times New Roman" w:cs="Times New Roman"/>
                <w:b/>
                <w:i w:val="0"/>
                <w:sz w:val="24"/>
              </w:rPr>
              <w:t>What is required</w:t>
            </w:r>
          </w:p>
        </w:tc>
        <w:tc>
          <w:tcPr>
            <w:tcW w:type="dxa" w:w="2416"/>
          </w:tcPr>
          <w:p>
            <w:pPr>
              <w:spacing w:after="60" w:line="240" w:lineRule="auto"/>
              <w:ind w:firstLine="0"/>
            </w:pPr>
            <w:r>
              <w:rPr>
                <w:rFonts w:ascii="Times New Roman" w:hAnsi="Times New Roman" w:eastAsia="Times New Roman" w:cs="Times New Roman"/>
                <w:b/>
                <w:i w:val="0"/>
                <w:sz w:val="24"/>
              </w:rPr>
              <w:t>What is not silently required</w:t>
            </w:r>
          </w:p>
        </w:tc>
      </w:tr>
      <w:tr>
        <w:trPr>
          <w:cantSplit/>
        </w:trPr>
        <w:tc>
          <w:tcPr>
            <w:tcW w:type="dxa" w:w="2416"/>
          </w:tcPr>
          <w:p>
            <w:pPr>
              <w:spacing w:after="60" w:line="240" w:lineRule="auto"/>
              <w:ind w:firstLine="0"/>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P01 HTTP to WebSocket Reply</w:t>
            </w:r>
          </w:p>
        </w:tc>
        <w:tc>
          <w:tcPr>
            <w:tcW w:type="dxa" w:w="2416"/>
          </w:tcPr>
          <w:p>
            <w:pPr>
              <w:spacing w:after="60" w:line="240" w:lineRule="auto"/>
              <w:ind w:firstLine="0"/>
            </w:pPr>
            <w:r>
              <w:rPr>
                <w:rFonts w:ascii="Times New Roman" w:hAnsi="Times New Roman" w:eastAsia="Times New Roman" w:cs="Times New Roman"/>
                <w:b w:val="0"/>
                <w:i w:val="0"/>
                <w:sz w:val="24"/>
              </w:rPr>
              <w:t>Guided demonstration</w:t>
            </w:r>
          </w:p>
        </w:tc>
        <w:tc>
          <w:tcPr>
            <w:tcW w:type="dxa" w:w="2416"/>
          </w:tcPr>
          <w:p>
            <w:pPr>
              <w:spacing w:after="60" w:line="240" w:lineRule="auto"/>
              <w:ind w:firstLine="0"/>
            </w:pPr>
            <w:r>
              <w:rPr>
                <w:rFonts w:ascii="Times New Roman" w:hAnsi="Times New Roman" w:eastAsia="Times New Roman" w:cs="Times New Roman"/>
                <w:b w:val="0"/>
                <w:i w:val="0"/>
                <w:sz w:val="24"/>
              </w:rPr>
              <w:t>Trace HTTP acceptance, registered recipient, targeted result and cleanup limit</w:t>
            </w:r>
          </w:p>
        </w:tc>
        <w:tc>
          <w:tcPr>
            <w:tcW w:type="dxa" w:w="2416"/>
          </w:tcPr>
          <w:p>
            <w:pPr>
              <w:spacing w:after="60" w:line="240" w:lineRule="auto"/>
              <w:ind w:firstLine="0"/>
            </w:pPr>
            <w:r>
              <w:rPr>
                <w:rFonts w:ascii="Times New Roman" w:hAnsi="Times New Roman" w:eastAsia="Times New Roman" w:cs="Times New Roman"/>
                <w:b w:val="0"/>
                <w:i w:val="0"/>
                <w:sz w:val="24"/>
              </w:rPr>
              <w:t>Full implementation in the S12 hour</w:t>
            </w:r>
          </w:p>
        </w:tc>
      </w:tr>
      <w:tr>
        <w:trPr>
          <w:cantSplit/>
        </w:trPr>
        <w:tc>
          <w:tcPr>
            <w:tcW w:type="dxa" w:w="2416"/>
          </w:tcPr>
          <w:p>
            <w:pPr>
              <w:spacing w:after="60" w:line="240" w:lineRule="auto"/>
              <w:ind w:firstLine="0"/>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P02 Queued Job Runner</w:t>
            </w:r>
          </w:p>
        </w:tc>
        <w:tc>
          <w:tcPr>
            <w:tcW w:type="dxa" w:w="2416"/>
          </w:tcPr>
          <w:p>
            <w:pPr>
              <w:spacing w:after="60" w:line="240" w:lineRule="auto"/>
              <w:ind w:firstLine="0"/>
            </w:pPr>
            <w:r>
              <w:rPr>
                <w:rFonts w:ascii="Times New Roman" w:hAnsi="Times New Roman" w:eastAsia="Times New Roman" w:cs="Times New Roman"/>
                <w:b w:val="0"/>
                <w:i w:val="0"/>
                <w:sz w:val="24"/>
              </w:rPr>
              <w:t>Optional advanced</w:t>
            </w:r>
          </w:p>
        </w:tc>
        <w:tc>
          <w:tcPr>
            <w:tcW w:type="dxa" w:w="2416"/>
          </w:tcPr>
          <w:p>
            <w:pPr>
              <w:spacing w:after="60" w:line="240" w:lineRule="auto"/>
              <w:ind w:firstLine="0"/>
            </w:pPr>
            <w:r>
              <w:rPr>
                <w:rFonts w:ascii="Times New Roman" w:hAnsi="Times New Roman" w:eastAsia="Times New Roman" w:cs="Times New Roman"/>
                <w:b w:val="0"/>
                <w:i w:val="0"/>
                <w:sz w:val="24"/>
              </w:rPr>
              <w:t>Use only in a separately qualified Redis/BullMQ environment</w:t>
            </w:r>
          </w:p>
        </w:tc>
        <w:tc>
          <w:tcPr>
            <w:tcW w:type="dxa" w:w="2416"/>
          </w:tcPr>
          <w:p>
            <w:pPr>
              <w:spacing w:after="60" w:line="240" w:lineRule="auto"/>
              <w:ind w:firstLine="0"/>
            </w:pPr>
            <w:r>
              <w:rPr>
                <w:rFonts w:ascii="Times New Roman" w:hAnsi="Times New Roman" w:eastAsia="Times New Roman" w:cs="Times New Roman"/>
                <w:b w:val="0"/>
                <w:i w:val="0"/>
                <w:sz w:val="24"/>
              </w:rPr>
              <w:t>Installation, container start or a hidden marking criterion</w:t>
            </w:r>
          </w:p>
        </w:tc>
      </w:tr>
      <w:tr>
        <w:trPr>
          <w:cantSplit/>
        </w:trPr>
        <w:tc>
          <w:tcPr>
            <w:tcW w:type="dxa" w:w="2416"/>
          </w:tcPr>
          <w:p>
            <w:pPr>
              <w:spacing w:after="60" w:line="240" w:lineRule="auto"/>
              <w:ind w:firstLine="0"/>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P03 Correlated Request Dispatcher</w:t>
            </w:r>
          </w:p>
        </w:tc>
        <w:tc>
          <w:tcPr>
            <w:tcW w:type="dxa" w:w="2416"/>
          </w:tcPr>
          <w:p>
            <w:pPr>
              <w:spacing w:after="60" w:line="240" w:lineRule="auto"/>
              <w:ind w:firstLine="0"/>
            </w:pPr>
            <w:r>
              <w:rPr>
                <w:rFonts w:ascii="Times New Roman" w:hAnsi="Times New Roman" w:eastAsia="Times New Roman" w:cs="Times New Roman"/>
                <w:b w:val="0"/>
                <w:i w:val="0"/>
                <w:sz w:val="24"/>
              </w:rPr>
              <w:t>Central implementation</w:t>
            </w:r>
          </w:p>
        </w:tc>
        <w:tc>
          <w:tcPr>
            <w:tcW w:type="dxa" w:w="2416"/>
          </w:tcPr>
          <w:p>
            <w:pPr>
              <w:spacing w:after="60" w:line="240" w:lineRule="auto"/>
              <w:ind w:firstLine="0"/>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Complete student/src/request-dispatcher.mjs and terminal-path evidence</w:t>
            </w:r>
            <w:r>
              <w:rPr>
                <w:rFonts w:ascii="Consolas" w:hAnsi="Consolas" w:eastAsia="Consolas" w:cs="Consolas"/>
                <w:b w:val="0"/>
                <w:i w:val="0"/>
                <w:sz w:val="20"/>
              </w:rPr>
              <w:t xml:space="preserve"/>
            </w:r>
            <w:r>
              <w:rPr>
                <w:rFonts w:ascii="Times New Roman" w:hAnsi="Times New Roman" w:eastAsia="Times New Roman" w:cs="Times New Roman"/>
                <w:b w:val="0"/>
                <w:i w:val="0"/>
                <w:sz w:val="24"/>
              </w:rPr>
              <w:t xml:space="preserve"/>
            </w:r>
          </w:p>
        </w:tc>
        <w:tc>
          <w:tcPr>
            <w:tcW w:type="dxa" w:w="2416"/>
          </w:tcPr>
          <w:p>
            <w:pPr>
              <w:spacing w:after="60" w:line="240" w:lineRule="auto"/>
              <w:ind w:firstLine="0"/>
            </w:pPr>
            <w:r>
              <w:rPr>
                <w:rFonts w:ascii="Times New Roman" w:hAnsi="Times New Roman" w:eastAsia="Times New Roman" w:cs="Times New Roman"/>
                <w:b w:val="0"/>
                <w:i w:val="0"/>
                <w:sz w:val="24"/>
              </w:rPr>
              <w:t>Editing support files or claiming real WebSocket execution from a fake transport</w:t>
            </w:r>
          </w:p>
        </w:tc>
      </w:tr>
    </w:tbl>
    <w:p>
      <w:pPr>
        <w:pStyle w:val="Heading1"/>
        <w:keepLines/>
        <w:ind w:firstLine="0"/>
        <w:jc w:val="left"/>
      </w:pPr>
      <w:r>
        <w:rPr>
          <w:rFonts w:ascii="Times New Roman" w:hAnsi="Times New Roman" w:eastAsia="Times New Roman" w:cs="Times New Roman"/>
          <w:b w:val="0"/>
          <w:i w:val="0"/>
          <w:sz w:val="24"/>
        </w:rPr>
        <w:t>Source-specific limits to retain</w:t>
      </w:r>
    </w:p>
    <w:p>
      <w:pPr>
        <w:ind w:firstLine="0"/>
        <w:jc w:val="left"/>
      </w:pPr>
      <w:r>
        <w:t xml:space="preserve">1. </w:t>
      </w:r>
      <w:r>
        <w:rPr>
          <w:rFonts w:ascii="Times New Roman" w:hAnsi="Times New Roman" w:eastAsia="Times New Roman" w:cs="Times New Roman"/>
          <w:b w:val="0"/>
          <w:i w:val="0"/>
          <w:sz w:val="24"/>
        </w:rPr>
        <w:t>The connection-registry example uses a colon-delimited key and a header-derived identity fixture.</w:t>
      </w:r>
    </w:p>
    <w:p>
      <w:pPr>
        <w:ind w:firstLine="0"/>
        <w:jc w:val="left"/>
      </w:pPr>
      <w:r>
        <w:t xml:space="preserve">2. </w:t>
      </w:r>
      <w:r>
        <w:rPr>
          <w:rFonts w:ascii="Times New Roman" w:hAnsi="Times New Roman" w:eastAsia="Times New Roman" w:cs="Times New Roman"/>
          <w:b w:val="0"/>
          <w:i w:val="0"/>
          <w:sz w:val="24"/>
        </w:rPr>
        <w:t>The accepted-job example has a Location value but no corresponding GET status route.</w:t>
      </w:r>
    </w:p>
    <w:p>
      <w:pPr>
        <w:ind w:firstLine="0"/>
        <w:jc w:val="left"/>
      </w:pPr>
      <w:r>
        <w:t xml:space="preserve">3. </w:t>
      </w:r>
      <w:r>
        <w:rPr>
          <w:rFonts w:ascii="Times New Roman" w:hAnsi="Times New Roman" w:eastAsia="Times New Roman" w:cs="Times New Roman"/>
          <w:b w:val="0"/>
          <w:i w:val="0"/>
          <w:sz w:val="24"/>
        </w:rPr>
        <w:t xml:space="preserve">The BullMQ example can write </w:t>
      </w:r>
      <w:r>
        <w:rPr>
          <w:rFonts w:ascii="Consolas" w:hAnsi="Consolas" w:eastAsia="Consolas" w:cs="Consolas"/>
          <w:b w:val="0"/>
          <w:i w:val="0"/>
          <w:sz w:val="20"/>
        </w:rPr>
        <w:t>queued</w:t>
      </w:r>
      <w:r>
        <w:rPr>
          <w:rFonts w:ascii="Times New Roman" w:hAnsi="Times New Roman" w:eastAsia="Times New Roman" w:cs="Times New Roman"/>
          <w:b w:val="0"/>
          <w:i w:val="0"/>
          <w:sz w:val="24"/>
        </w:rPr>
        <w:t xml:space="preserve"> after awaited queue work has already emitted another event.</w:t>
      </w:r>
    </w:p>
    <w:p>
      <w:pPr>
        <w:ind w:firstLine="0"/>
        <w:jc w:val="left"/>
      </w:pPr>
      <w:r>
        <w:t xml:space="preserve">Historical full-application context; implementation is optional advanced reference, outside the current seminar task allocation. Current task IDs, titles and editable paths appear in the RC10 transfer section of this document. 4. P01 permits duplicate request IDs to overwrite pending ownership and does not remove pending work on disconnect.</w:t>
      </w:r>
      <w:r>
        <w:rPr>
          <w:rFonts w:ascii="Times New Roman" w:hAnsi="Times New Roman" w:eastAsia="Times New Roman" w:cs="Times New Roman"/>
          <w:b w:val="0"/>
          <w:i w:val="0"/>
          <w:sz w:val="24"/>
        </w:rPr>
        <w:t xml:space="preserve"/>
      </w:r>
    </w:p>
    <w:p>
      <w:pPr>
        <w:ind w:firstLine="0"/>
        <w:jc w:val="left"/>
      </w:pPr>
      <w:r>
        <w:t xml:space="preserve">Historical full-application context; implementation is optional advanced reference, outside the current seminar task allocation. Current task IDs, titles and editable paths appear in the RC10 transfer section of this document. 5. P02 republishes equal progress, accepts completion directly from queued and accepts an incomplete result shape.</w:t>
      </w:r>
      <w:r>
        <w:rPr>
          <w:rFonts w:ascii="Times New Roman" w:hAnsi="Times New Roman" w:eastAsia="Times New Roman" w:cs="Times New Roman"/>
          <w:b w:val="0"/>
          <w:i w:val="0"/>
          <w:sz w:val="24"/>
        </w:rPr>
        <w:t xml:space="preserve"/>
      </w:r>
    </w:p>
    <w:p>
      <w:pPr>
        <w:ind w:firstLine="0"/>
        <w:jc w:val="left"/>
      </w:pPr>
      <w:r>
        <w:t xml:space="preserve">Historical full-application context; implementation is optional advanced reference, outside the current seminar task allocation. Current task IDs, titles and editable paths appear in the RC10 transfer section of this document. 6. P03 rejects simultaneous duplicate IDs but permits reuse after settlement, does not close itself on transport close and allows nextId to throw synchronously.</w:t>
      </w:r>
      <w:r>
        <w:rPr>
          <w:rFonts w:ascii="Times New Roman" w:hAnsi="Times New Roman" w:eastAsia="Times New Roman" w:cs="Times New Roman"/>
          <w:b w:val="0"/>
          <w:i w:val="0"/>
          <w:sz w:val="24"/>
        </w:rPr>
        <w:t xml:space="preserve"/>
      </w:r>
      <w:r>
        <w:rPr>
          <w:rFonts w:ascii="Consolas" w:hAnsi="Consolas" w:eastAsia="Consolas" w:cs="Consolas"/>
          <w:b w:val="0"/>
          <w:i w:val="0"/>
          <w:sz w:val="20"/>
        </w:rPr>
        <w:t xml:space="preserve"/>
      </w:r>
      <w:r>
        <w:rPr>
          <w:rFonts w:ascii="Times New Roman" w:hAnsi="Times New Roman" w:eastAsia="Times New Roman" w:cs="Times New Roman"/>
          <w:b w:val="0"/>
          <w:i w:val="0"/>
          <w:sz w:val="24"/>
        </w:rPr>
        <w:t xml:space="preserve"/>
      </w:r>
    </w:p>
    <w:p>
      <w:pPr>
        <w:ind w:firstLine="0"/>
        <w:jc w:val="left"/>
      </w:pPr>
      <w:r>
        <w:t xml:space="preserve">Historical full-application context; implementation is optional advanced reference, outside the current seminar task allocation. Current task IDs, titles and editable paths appear in the RC10 transfer section of this document. 7. The P03 specification names .js; the actual assessed path is .mjs. Use the actual path.</w:t>
      </w:r>
      <w:r>
        <w:rPr>
          <w:rFonts w:ascii="Times New Roman" w:hAnsi="Times New Roman" w:eastAsia="Times New Roman" w:cs="Times New Roman"/>
          <w:b w:val="0"/>
          <w:i w:val="0"/>
          <w:sz w:val="24"/>
        </w:rPr>
        <w:t xml:space="preserve"/>
      </w:r>
      <w:r>
        <w:rPr>
          <w:rFonts w:ascii="Consolas" w:hAnsi="Consolas" w:eastAsia="Consolas" w:cs="Consolas"/>
          <w:b w:val="0"/>
          <w:i w:val="0"/>
          <w:sz w:val="20"/>
        </w:rPr>
        <w:t xml:space="preserve"/>
      </w:r>
      <w:r>
        <w:rPr>
          <w:rFonts w:ascii="Times New Roman" w:hAnsi="Times New Roman" w:eastAsia="Times New Roman" w:cs="Times New Roman"/>
          <w:b w:val="0"/>
          <w:i w:val="0"/>
          <w:sz w:val="24"/>
        </w:rPr>
        <w:t xml:space="preserve"/>
      </w:r>
      <w:r>
        <w:rPr>
          <w:rFonts w:ascii="Consolas" w:hAnsi="Consolas" w:eastAsia="Consolas" w:cs="Consolas"/>
          <w:b w:val="0"/>
          <w:i w:val="0"/>
          <w:sz w:val="20"/>
        </w:rPr>
        <w:t xml:space="preserve"/>
      </w:r>
      <w:r>
        <w:rPr>
          <w:rFonts w:ascii="Times New Roman" w:hAnsi="Times New Roman" w:eastAsia="Times New Roman" w:cs="Times New Roman"/>
          <w:b w:val="0"/>
          <w:i w:val="0"/>
          <w:sz w:val="24"/>
        </w:rPr>
        <w:t xml:space="preserve"/>
      </w:r>
    </w:p>
    <w:p>
      <w:pPr>
        <w:keepLines/>
        <w:jc w:val="both"/>
      </w:pPr>
      <w:r>
        <w:rPr>
          <w:rFonts w:ascii="Times New Roman" w:hAnsi="Times New Roman" w:eastAsia="Times New Roman" w:cs="Times New Roman"/>
          <w:b w:val="0"/>
          <w:i w:val="0"/>
          <w:sz w:val="24"/>
        </w:rPr>
        <w:t>These findings are not permission to weaken tests or to present every deployment as broken. They define the claims that require evidence.</w:t>
      </w:r>
    </w:p>
    <w:p>
      <w:pPr>
        <w:pStyle w:val="Heading1"/>
        <w:keepLines/>
        <w:ind w:firstLine="0"/>
        <w:jc w:val="left"/>
      </w:pPr>
      <w:r>
        <w:rPr>
          <w:rFonts w:ascii="Times New Roman" w:hAnsi="Times New Roman" w:eastAsia="Times New Roman" w:cs="Times New Roman"/>
          <w:b w:val="0"/>
          <w:i w:val="0"/>
          <w:sz w:val="24"/>
        </w:rPr>
        <w:t>Evidence ladder</w:t>
      </w:r>
    </w:p>
    <w:tbl>
      <w:tblPr>
        <w:tblStyle w:val="TableGrid"/>
        <w:tblW w:type="auto" w:w="0"/>
        <w:tblLayout w:type="autofit"/>
        <w:tblLook w:firstColumn="1" w:firstRow="1" w:lastColumn="0" w:lastRow="0" w:noHBand="0" w:noVBand="1" w:val="04A0"/>
      </w:tblPr>
      <w:tblGrid>
        <w:gridCol w:w="3221"/>
        <w:gridCol w:w="3221"/>
        <w:gridCol w:w="3221"/>
      </w:tblGrid>
      <w:tr>
        <w:trPr>
          <w:cantSplit/>
          <w:tblHeader/>
        </w:trPr>
        <w:tc>
          <w:tcPr>
            <w:tcW w:type="dxa" w:w="3221"/>
          </w:tcPr>
          <w:p>
            <w:pPr>
              <w:spacing w:after="60" w:line="240" w:lineRule="auto"/>
              <w:ind w:firstLine="0"/>
            </w:pPr>
            <w:r>
              <w:rPr>
                <w:rFonts w:ascii="Times New Roman" w:hAnsi="Times New Roman" w:eastAsia="Times New Roman" w:cs="Times New Roman"/>
                <w:b/>
                <w:i w:val="0"/>
                <w:sz w:val="24"/>
              </w:rPr>
              <w:t>Class</w:t>
            </w:r>
          </w:p>
        </w:tc>
        <w:tc>
          <w:tcPr>
            <w:tcW w:type="dxa" w:w="3221"/>
          </w:tcPr>
          <w:p>
            <w:pPr>
              <w:spacing w:after="60" w:line="240" w:lineRule="auto"/>
              <w:ind w:firstLine="0"/>
            </w:pPr>
            <w:r>
              <w:rPr>
                <w:rFonts w:ascii="Times New Roman" w:hAnsi="Times New Roman" w:eastAsia="Times New Roman" w:cs="Times New Roman"/>
                <w:b/>
                <w:i w:val="0"/>
                <w:sz w:val="24"/>
              </w:rPr>
              <w:t>What it can support</w:t>
            </w:r>
          </w:p>
        </w:tc>
        <w:tc>
          <w:tcPr>
            <w:tcW w:type="dxa" w:w="3221"/>
          </w:tcPr>
          <w:p>
            <w:pPr>
              <w:spacing w:after="60" w:line="240" w:lineRule="auto"/>
              <w:ind w:firstLine="0"/>
            </w:pPr>
            <w:r>
              <w:rPr>
                <w:rFonts w:ascii="Times New Roman" w:hAnsi="Times New Roman" w:eastAsia="Times New Roman" w:cs="Times New Roman"/>
                <w:b/>
                <w:i w:val="0"/>
                <w:sz w:val="24"/>
              </w:rPr>
              <w:t>What it cannot support</w:t>
            </w:r>
          </w:p>
        </w:tc>
      </w:tr>
      <w:tr>
        <w:trPr>
          <w:cantSplit/>
        </w:trPr>
        <w:tc>
          <w:tcPr>
            <w:tcW w:type="dxa" w:w="3221"/>
          </w:tcPr>
          <w:p>
            <w:pPr>
              <w:spacing w:after="60" w:line="240" w:lineRule="auto"/>
              <w:ind w:firstLine="0"/>
            </w:pPr>
            <w:r>
              <w:rPr>
                <w:rFonts w:ascii="Times New Roman" w:hAnsi="Times New Roman" w:eastAsia="Times New Roman" w:cs="Times New Roman"/>
                <w:b w:val="0"/>
                <w:i w:val="0"/>
                <w:sz w:val="24"/>
              </w:rPr>
              <w:t>Source identity</w:t>
            </w:r>
          </w:p>
        </w:tc>
        <w:tc>
          <w:tcPr>
            <w:tcW w:type="dxa" w:w="3221"/>
          </w:tcPr>
          <w:p>
            <w:pPr>
              <w:spacing w:after="60" w:line="240" w:lineRule="auto"/>
              <w:ind w:firstLine="0"/>
            </w:pPr>
            <w:r>
              <w:rPr>
                <w:rFonts w:ascii="Times New Roman" w:hAnsi="Times New Roman" w:eastAsia="Times New Roman" w:cs="Times New Roman"/>
                <w:b w:val="0"/>
                <w:i w:val="0"/>
                <w:sz w:val="24"/>
              </w:rPr>
              <w:t>exact bytes and contract wording</w:t>
            </w:r>
          </w:p>
        </w:tc>
        <w:tc>
          <w:tcPr>
            <w:tcW w:type="dxa" w:w="3221"/>
          </w:tcPr>
          <w:p>
            <w:pPr>
              <w:spacing w:after="60" w:line="240" w:lineRule="auto"/>
              <w:ind w:firstLine="0"/>
            </w:pPr>
            <w:r>
              <w:rPr>
                <w:rFonts w:ascii="Times New Roman" w:hAnsi="Times New Roman" w:eastAsia="Times New Roman" w:cs="Times New Roman"/>
                <w:b w:val="0"/>
                <w:i w:val="0"/>
                <w:sz w:val="24"/>
              </w:rPr>
              <w:t>runtime behaviour</w:t>
            </w:r>
          </w:p>
        </w:tc>
      </w:tr>
      <w:tr>
        <w:trPr>
          <w:cantSplit/>
        </w:trPr>
        <w:tc>
          <w:tcPr>
            <w:tcW w:type="dxa" w:w="3221"/>
          </w:tcPr>
          <w:p>
            <w:pPr>
              <w:spacing w:after="60" w:line="240" w:lineRule="auto"/>
              <w:ind w:firstLine="0"/>
            </w:pPr>
            <w:r>
              <w:rPr>
                <w:rFonts w:ascii="Times New Roman" w:hAnsi="Times New Roman" w:eastAsia="Times New Roman" w:cs="Times New Roman"/>
                <w:b w:val="0"/>
                <w:i w:val="0"/>
                <w:sz w:val="24"/>
              </w:rPr>
              <w:t>Pure JavaScript/helper</w:t>
            </w:r>
          </w:p>
        </w:tc>
        <w:tc>
          <w:tcPr>
            <w:tcW w:type="dxa" w:w="3221"/>
          </w:tcPr>
          <w:p>
            <w:pPr>
              <w:spacing w:after="60" w:line="240" w:lineRule="auto"/>
              <w:ind w:firstLine="0"/>
            </w:pPr>
            <w:r>
              <w:rPr>
                <w:rFonts w:ascii="Times New Roman" w:hAnsi="Times New Roman" w:eastAsia="Times New Roman" w:cs="Times New Roman"/>
                <w:b w:val="0"/>
                <w:i w:val="0"/>
                <w:sz w:val="24"/>
              </w:rPr>
              <w:t>deterministic transformation or state result</w:t>
            </w:r>
          </w:p>
        </w:tc>
        <w:tc>
          <w:tcPr>
            <w:tcW w:type="dxa" w:w="3221"/>
          </w:tcPr>
          <w:p>
            <w:pPr>
              <w:spacing w:after="60" w:line="240" w:lineRule="auto"/>
              <w:ind w:firstLine="0"/>
            </w:pPr>
            <w:r>
              <w:rPr>
                <w:rFonts w:ascii="Times New Roman" w:hAnsi="Times New Roman" w:eastAsia="Times New Roman" w:cs="Times New Roman"/>
                <w:b w:val="0"/>
                <w:i w:val="0"/>
                <w:sz w:val="24"/>
              </w:rPr>
              <w:t>library, network or browser semantics</w:t>
            </w:r>
          </w:p>
        </w:tc>
      </w:tr>
      <w:tr>
        <w:trPr>
          <w:cantSplit/>
        </w:trPr>
        <w:tc>
          <w:tcPr>
            <w:tcW w:type="dxa" w:w="3221"/>
          </w:tcPr>
          <w:p>
            <w:pPr>
              <w:spacing w:after="60" w:line="240" w:lineRule="auto"/>
              <w:ind w:firstLine="0"/>
            </w:pPr>
            <w:r>
              <w:rPr>
                <w:rFonts w:ascii="Times New Roman" w:hAnsi="Times New Roman" w:eastAsia="Times New Roman" w:cs="Times New Roman"/>
                <w:b w:val="0"/>
                <w:i w:val="0"/>
                <w:sz w:val="24"/>
              </w:rPr>
              <w:t>Fake transport</w:t>
            </w:r>
          </w:p>
        </w:tc>
        <w:tc>
          <w:tcPr>
            <w:tcW w:type="dxa" w:w="3221"/>
          </w:tcPr>
          <w:p>
            <w:pPr>
              <w:spacing w:after="60" w:line="240" w:lineRule="auto"/>
              <w:ind w:firstLine="0"/>
            </w:pPr>
            <w:r>
              <w:rPr>
                <w:rFonts w:ascii="Times New Roman" w:hAnsi="Times New Roman" w:eastAsia="Times New Roman" w:cs="Times New Roman"/>
                <w:b w:val="0"/>
                <w:i w:val="0"/>
                <w:sz w:val="24"/>
              </w:rPr>
              <w:t>correlation and cleanup under the fake contract</w:t>
            </w:r>
          </w:p>
        </w:tc>
        <w:tc>
          <w:tcPr>
            <w:tcW w:type="dxa" w:w="3221"/>
          </w:tcPr>
          <w:p>
            <w:pPr>
              <w:spacing w:after="60" w:line="240" w:lineRule="auto"/>
              <w:ind w:firstLine="0"/>
            </w:pPr>
            <w:r>
              <w:rPr>
                <w:rFonts w:ascii="Times New Roman" w:hAnsi="Times New Roman" w:eastAsia="Times New Roman" w:cs="Times New Roman"/>
                <w:b w:val="0"/>
                <w:i w:val="0"/>
                <w:sz w:val="24"/>
              </w:rPr>
              <w:t>native WebSocket behaviour</w:t>
            </w:r>
          </w:p>
        </w:tc>
      </w:tr>
      <w:tr>
        <w:trPr>
          <w:cantSplit/>
        </w:trPr>
        <w:tc>
          <w:tcPr>
            <w:tcW w:type="dxa" w:w="3221"/>
          </w:tcPr>
          <w:p>
            <w:pPr>
              <w:spacing w:after="60" w:line="240" w:lineRule="auto"/>
              <w:ind w:firstLine="0"/>
            </w:pPr>
            <w:r>
              <w:rPr>
                <w:rFonts w:ascii="Times New Roman" w:hAnsi="Times New Roman" w:eastAsia="Times New Roman" w:cs="Times New Roman"/>
                <w:b w:val="0"/>
                <w:i w:val="0"/>
                <w:sz w:val="24"/>
              </w:rPr>
              <w:t>Real protocol loopback</w:t>
            </w:r>
          </w:p>
        </w:tc>
        <w:tc>
          <w:tcPr>
            <w:tcW w:type="dxa" w:w="3221"/>
          </w:tcPr>
          <w:p>
            <w:pPr>
              <w:spacing w:after="60" w:line="240" w:lineRule="auto"/>
              <w:ind w:firstLine="0"/>
            </w:pPr>
            <w:r>
              <w:rPr>
                <w:rFonts w:ascii="Times New Roman" w:hAnsi="Times New Roman" w:eastAsia="Times New Roman" w:cs="Times New Roman"/>
                <w:b w:val="0"/>
                <w:i w:val="0"/>
                <w:sz w:val="24"/>
              </w:rPr>
              <w:t>actual implementation behaviour on one qualified environment</w:t>
            </w:r>
          </w:p>
        </w:tc>
        <w:tc>
          <w:tcPr>
            <w:tcW w:type="dxa" w:w="3221"/>
          </w:tcPr>
          <w:p>
            <w:pPr>
              <w:spacing w:after="60" w:line="240" w:lineRule="auto"/>
              <w:ind w:firstLine="0"/>
            </w:pPr>
            <w:r>
              <w:rPr>
                <w:rFonts w:ascii="Times New Roman" w:hAnsi="Times New Roman" w:eastAsia="Times New Roman" w:cs="Times New Roman"/>
                <w:b w:val="0"/>
                <w:i w:val="0"/>
                <w:sz w:val="24"/>
              </w:rPr>
              <w:t>distributed reliability or production topology</w:t>
            </w:r>
          </w:p>
        </w:tc>
      </w:tr>
      <w:tr>
        <w:trPr>
          <w:cantSplit/>
        </w:trPr>
        <w:tc>
          <w:tcPr>
            <w:tcW w:type="dxa" w:w="3221"/>
          </w:tcPr>
          <w:p>
            <w:pPr>
              <w:spacing w:after="60" w:line="240" w:lineRule="auto"/>
              <w:ind w:firstLine="0"/>
            </w:pPr>
            <w:r>
              <w:rPr>
                <w:rFonts w:ascii="Times New Roman" w:hAnsi="Times New Roman" w:eastAsia="Times New Roman" w:cs="Times New Roman"/>
                <w:b w:val="0"/>
                <w:i w:val="0"/>
                <w:sz w:val="24"/>
              </w:rPr>
              <w:t>Browser/platform acceptance</w:t>
            </w:r>
          </w:p>
        </w:tc>
        <w:tc>
          <w:tcPr>
            <w:tcW w:type="dxa" w:w="3221"/>
          </w:tcPr>
          <w:p>
            <w:pPr>
              <w:spacing w:after="60" w:line="240" w:lineRule="auto"/>
              <w:ind w:firstLine="0"/>
            </w:pPr>
            <w:r>
              <w:rPr>
                <w:rFonts w:ascii="Times New Roman" w:hAnsi="Times New Roman" w:eastAsia="Times New Roman" w:cs="Times New Roman"/>
                <w:b w:val="0"/>
                <w:i w:val="0"/>
                <w:sz w:val="24"/>
              </w:rPr>
              <w:t>focus, reconnect, address-bar or native document behaviour</w:t>
            </w:r>
          </w:p>
        </w:tc>
        <w:tc>
          <w:tcPr>
            <w:tcW w:type="dxa" w:w="3221"/>
          </w:tcPr>
          <w:p>
            <w:pPr>
              <w:spacing w:after="60" w:line="240" w:lineRule="auto"/>
              <w:ind w:firstLine="0"/>
            </w:pPr>
            <w:r>
              <w:rPr>
                <w:rFonts w:ascii="Times New Roman" w:hAnsi="Times New Roman" w:eastAsia="Times New Roman" w:cs="Times New Roman"/>
                <w:b w:val="0"/>
                <w:i w:val="0"/>
                <w:sz w:val="24"/>
              </w:rPr>
              <w:t>universal compatibility</w:t>
            </w:r>
          </w:p>
        </w:tc>
      </w:tr>
    </w:tbl>
    <w:p>
      <w:pPr>
        <w:pStyle w:val="Heading1"/>
        <w:keepLines/>
        <w:ind w:firstLine="0"/>
        <w:jc w:val="left"/>
      </w:pPr>
      <w:r>
        <w:rPr>
          <w:rFonts w:ascii="Times New Roman" w:hAnsi="Times New Roman" w:eastAsia="Times New Roman" w:cs="Times New Roman"/>
          <w:b w:val="0"/>
          <w:i w:val="0"/>
          <w:sz w:val="24"/>
        </w:rPr>
        <w:t>Final retrieval</w:t>
      </w:r>
    </w:p>
    <w:p>
      <w:pPr>
        <w:keepLines/>
        <w:jc w:val="both"/>
      </w:pPr>
      <w:r>
        <w:rPr>
          <w:rFonts w:ascii="Times New Roman" w:hAnsi="Times New Roman" w:eastAsia="Times New Roman" w:cs="Times New Roman"/>
          <w:b w:val="0"/>
          <w:i w:val="0"/>
          <w:sz w:val="24"/>
        </w:rPr>
        <w:t>Before leaving C12, write one sentence for each item: owner, correlation/lifecycle invariant, actual witness and untested boundary. Stop at minute 60. The reserved 30 minutes are not overflow.</w:t>
      </w:r>
    </w:p>
    <w:sectPr w:rsidR="00FC693F" w:rsidRPr="0006063C" w:rsidSect="00034616">
      <w:headerReference w:type="default" r:id="rId9"/>
      <w:footerReference w:type="default" r:id="rId10"/>
      <w:pgSz w:w="11909" w:h="16834"/>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eastAsia="Times New Roman" w:cs="Times New Roman"/>
        <w:sz w:val="18"/>
      </w:rPr>
      <w:t xml:space="preserve">C12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rFonts w:ascii="Times New Roman" w:hAnsi="Times New Roman" w:eastAsia="Times New Roman" w:cs="Times New Roman"/>
        <w:sz w:val="18"/>
      </w:rPr>
      <w:t>WEB TECHNOLOGIES 2026  |  C12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10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80" w:after="100"/>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ind w:firstLine="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C12 handout</dc:title>
  <dc:subject>C12 local teaching package</dc:subject>
  <dc:creator>TEHNOLOGII WEB 2026</dc:creator>
  <cp:keywords/>
  <dc:description/>
  <cp:lastModifiedBy/>
  <cp:revision>1</cp:revision>
  <dcterms:created xsi:type="dcterms:W3CDTF">2013-12-23T23:15:00Z</dcterms:created>
  <dcterms:modified xsi:type="dcterms:W3CDTF">2013-12-23T23:15:00Z</dcterms:modified>
  <cp:category/>
</cp:coreProperties>
</file>