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C12 — Realtime Communication and Asynchronous Work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Purpose and evidence boundary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Realtime features and asynchronous jobs are not defined by a library name. They are defined by ownership, lifetime, correlation and terminal evidence. This handout follows the exact Unit 12 source headings while applying the approved 60-minute route. It distinguishes source reading, deterministic JavaScript models, real protocol execution and platform acceptance.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The organising question is: </w:t>
      </w:r>
      <w:r>
        <w:rPr>
          <w:rFonts w:ascii="Times New Roman" w:hAnsi="Times New Roman" w:eastAsia="Times New Roman" w:cs="Times New Roman"/>
          <w:b/>
          <w:i w:val="0"/>
          <w:sz w:val="24"/>
        </w:rPr>
        <w:t>Who accepts work, who executes it, who owns the later result, which identifier binds the lifecycle and what terminal evidence proves cleanup?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five-owner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Boundary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Primary owner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Minimum evidence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Typical overclaim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Acceptance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HTTP/API layer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validation, authorisation and successful enqueue/schedule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treating 202 as completion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Execution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worker or calculation adapter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actual start, progress and terminal outcome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assuming queue acceptance means execution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Projection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application state layer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owner-scoped monotonic state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exposing queue internals as public truth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Delivery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event channel/dispatcher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trusted recipient and correlation ID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broadcasting private results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Cleanup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component that created the resource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pending/listener/timer/client counts return to zero/closed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settling the promise but leaking resources</w:t>
            </w:r>
          </w:p>
        </w:tc>
      </w:tr>
    </w:tbl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 HTTP request/response has one response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request/response exchange has one response. Holding it open for unrelated long work ties resource lifetime to a transport that may disconnect, retry or time out.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2. Polling asks repeatedly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Polling repeats an observation request. It is simple and reconnect-friendly, but its interval governs both delay and request volume.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3. Worked example — polling versus push timeline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canonical timeline illustrates the trade-off between frequent polling and a push channel. It omits real network, reconnect and backpressure costs.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4. SSE is one-way server push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Server-sent events provide one-way server push over HTTP semantics. They fit progress and notifications when commands remain ordinary HTTP requests.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5. WebSockets are bidirectional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WebSockets provide a bidirectional message channel. The capability is useful only when the application accepts the extra lifecycle, validation and routing duties.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6. Choose from required behavior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Choose a transport from direction, update frequency, latency, replay, reconnect, infrastructure and client support. Novelty is not a requirement.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7. A socket is transient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socket is transient. It can be replaced, closed or moved between processes, so it must not be treated as durable user identity.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8. Registry keys need compound identity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registry key must bind trusted principal identity and client connection identity without ambiguous concatenation.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9. Reconnect replaces one exact connection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Reconnect replaces one exact connection. Late cleanup from the old instance must be conditional on registry identity.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10. Worked example — connection registry trace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exact example demonstrates registry replacement and cleanup, but its header-derived fixture identity and delimiter key are deliberately limited.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11. Delivery must be targeted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Private results require targeted delivery. Broadcast plus client-side filtering is not a valid confidentiality or correlation strategy.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12. Single-process registries have a scaling boundary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process-local registry does not automatically work across multiple server instances. Shared routing or explicit sticky ownership is separate architecture.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13. </w:t>
      </w:r>
      <w:r>
        <w:rPr>
          <w:rFonts w:ascii="Consolas" w:hAnsi="Consolas" w:eastAsia="Consolas" w:cs="Consolas"/>
          <w:b w:val="0"/>
          <w:i w:val="0"/>
          <w:sz w:val="20"/>
        </w:rPr>
        <w:t>202 Accepted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is not success completion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HTTP 202 is deliberately noncommittal. It acknowledges acceptance for processing and cannot report eventual success.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14. Enqueue before accepting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Validation, authorisation and successful enqueue precede acceptance. A queue error must not produce false 202 metadata.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15. Worked example — accepted job contract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example emits an opaque job identifier and Location but omits the corresponding status GET route; teach the boundary honestly.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16. Queue separates producer and worker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queue separates the producer that accepts work from the worker that performs it. Each layer owns different failure and cleanup paths.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17. Job payloads should be minimal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Minimal payloads reduce leakage and stale authority. Put identifiers and required inputs in a job, not session tokens or entire user profiles.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18. Workers own processing, not HTTP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worker owns processing and returns a result to the queue system. It does not own the original HTTP response object.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19. Retries require idempotency reasoning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Retries can repeat execution. Idempotency or transaction design is required for business effects that must not be duplicated.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20. Public state is a projection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Public job state is an application projection. It should hide queue internals and expose stable owner-scoped states and sanitised outcomes.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21. Progress must be monotonic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Progress should be monotonic and terminal states stable. The audited reference also republishes equal progress, which is distinct from regression.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22. Worked example — BullMQ job lifecycle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BullMQ example is a source anchor with a real dependency graph, but Redis, BullMQ and its integration path are not executed in this package.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23. Owner scope protects results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Job results must be owner-scoped. Unknown or other-owner identifiers should be concealed according to policy.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24. Close queues, workers, and Redis clients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Queues, workers, event listeners and Redis clients require explicit closure. Resource counts are part of correctness.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25. One channel carries many replies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shared channel carries many replies, so every request needs an opaque correlation identifier.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26. Install pending state before sending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Install pending state before sending. Otherwise a synchronous or extremely fast response can arrive before the caller is registered.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27. Pending entries own terminal resources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pending entry owns resolve/reject callbacks, timeout state, abort cleanup and the expected result type.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28. Correlation selects the promise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Correlation selects the promise. Arrival order is irrelevant once the message carries the correct request identifier.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29. Worked example — correlated dispatcher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 canonical dispatcher demonstrates reversed replies and ignored late unknown messages, but it has documented close and ID-reuse limits.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30. Failure has many terminal paths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Remote failure, local send failure, timeout, abort, transport close and disposal are different terminal paths with one cleanup invariant.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31. Timeout is not remote cancellation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A timeout stops local waiting. It does not cancel remote work unless the protocol defines and confirms cancellation.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32. Transport close rejects all pending work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Transport close must reject all current pending work. Whether future dispatch is allowed needs an explicit state policy.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33. Disposal is idempotent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Dispose should be idempotent, unsubscribe global listeners, reject pending requests, clear resources and refuse new work.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34. Instrument lifecycle counts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Instrument pending entries, listeners, timers, connections, queue clients and workers. Each success or failure path should return owned resources to zero or closed.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/>
          <w:i w:val="0"/>
          <w:sz w:val="24"/>
        </w:rPr>
        <w:t>Evidence boundary.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This topic is taught from the exact source, a named fixed model or a bounded helper. It is not a claim of Express, Redis, BullMQ, WebSocket, browser or platform execution unless a later qualification record explicitly says so.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Project roles for Week 12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16"/>
        <w:gridCol w:w="2416"/>
        <w:gridCol w:w="2416"/>
        <w:gridCol w:w="2416"/>
      </w:tblGrid>
      <w:tr>
        <w:trPr>
          <w:cantSplit/>
          <w:tblHeader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Project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Active role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What is required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What is not silently required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P01 HTTP to WebSocket Reply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Guided demonstration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Trace HTTP acceptance, registered recipient, targeted result and cleanup limit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Full implementation in the S12 hour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P02 Queued Job Runner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Optional advanced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Use only in a separately qualified Redis/BullMQ environment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Installation, container start or a hidden marking criterion</w:t>
            </w:r>
          </w:p>
        </w:tc>
      </w:tr>
      <w:tr>
        <w:trPr>
          <w:cantSplit/>
        </w:trPr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P03 Correlated Request Dispatcher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Central implementation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Complete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student/src/request-dispatcher.mjs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 xml:space="preserve"> and terminal-path evidence</w:t>
            </w:r>
          </w:p>
        </w:tc>
        <w:tc>
          <w:tcPr>
            <w:tcW w:type="dxa" w:w="2416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Editing support files or claiming real WebSocket execution from a fake transport</w:t>
            </w:r>
          </w:p>
        </w:tc>
      </w:tr>
    </w:tbl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Source-specific limits to retain</w:t>
      </w:r>
    </w:p>
    <w:p>
      <w:pPr>
        <w:ind w:firstLine="0"/>
        <w:jc w:val="left"/>
      </w:pPr>
      <w:r>
        <w:t xml:space="preserve">1.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The connection-registry example uses a colon-delimited key and a header-derived identity fixture.</w:t>
      </w:r>
    </w:p>
    <w:p>
      <w:pPr>
        <w:ind w:firstLine="0"/>
        <w:jc w:val="left"/>
      </w:pPr>
      <w:r>
        <w:t xml:space="preserve">2.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The accepted-job example has a Location value but no corresponding GET status route.</w:t>
      </w:r>
    </w:p>
    <w:p>
      <w:pPr>
        <w:ind w:firstLine="0"/>
        <w:jc w:val="left"/>
      </w:pPr>
      <w:r>
        <w:t xml:space="preserve">3.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The BullMQ example can write </w:t>
      </w:r>
      <w:r>
        <w:rPr>
          <w:rFonts w:ascii="Consolas" w:hAnsi="Consolas" w:eastAsia="Consolas" w:cs="Consolas"/>
          <w:b w:val="0"/>
          <w:i w:val="0"/>
          <w:sz w:val="20"/>
        </w:rPr>
        <w:t>queued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after awaited queue work has already emitted another event.</w:t>
      </w:r>
    </w:p>
    <w:p>
      <w:pPr>
        <w:ind w:firstLine="0"/>
        <w:jc w:val="left"/>
      </w:pPr>
      <w:r>
        <w:t xml:space="preserve">4.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P01 permits duplicate request IDs to overwrite pending ownership and does not remove pending work on disconnect.</w:t>
      </w:r>
    </w:p>
    <w:p>
      <w:pPr>
        <w:ind w:firstLine="0"/>
        <w:jc w:val="left"/>
      </w:pPr>
      <w:r>
        <w:t xml:space="preserve">5.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P02 republishes equal progress, accepts completion directly from queued and accepts an incomplete result shape.</w:t>
      </w:r>
    </w:p>
    <w:p>
      <w:pPr>
        <w:ind w:firstLine="0"/>
        <w:jc w:val="left"/>
      </w:pPr>
      <w:r>
        <w:t xml:space="preserve">6.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P03 rejects simultaneous duplicate IDs but permits reuse after settlement, does not close itself on transport close and allows </w:t>
      </w:r>
      <w:r>
        <w:rPr>
          <w:rFonts w:ascii="Consolas" w:hAnsi="Consolas" w:eastAsia="Consolas" w:cs="Consolas"/>
          <w:b w:val="0"/>
          <w:i w:val="0"/>
          <w:sz w:val="20"/>
        </w:rPr>
        <w:t>nextId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 to throw synchronously.</w:t>
      </w:r>
    </w:p>
    <w:p>
      <w:pPr>
        <w:ind w:firstLine="0"/>
        <w:jc w:val="left"/>
      </w:pPr>
      <w:r>
        <w:t xml:space="preserve">7. 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The P03 specification names </w:t>
      </w:r>
      <w:r>
        <w:rPr>
          <w:rFonts w:ascii="Consolas" w:hAnsi="Consolas" w:eastAsia="Consolas" w:cs="Consolas"/>
          <w:b w:val="0"/>
          <w:i w:val="0"/>
          <w:sz w:val="20"/>
        </w:rPr>
        <w:t>.js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 xml:space="preserve">; the actual assessed path is </w:t>
      </w:r>
      <w:r>
        <w:rPr>
          <w:rFonts w:ascii="Consolas" w:hAnsi="Consolas" w:eastAsia="Consolas" w:cs="Consolas"/>
          <w:b w:val="0"/>
          <w:i w:val="0"/>
          <w:sz w:val="20"/>
        </w:rPr>
        <w:t>.mjs</w:t>
      </w:r>
      <w:r>
        <w:rPr>
          <w:rFonts w:ascii="Times New Roman" w:hAnsi="Times New Roman" w:eastAsia="Times New Roman" w:cs="Times New Roman"/>
          <w:b w:val="0"/>
          <w:i w:val="0"/>
          <w:sz w:val="24"/>
        </w:rPr>
        <w:t>. Use the actual path.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These findings are not permission to weaken tests or to present every deployment as broken. They define the claims that require evidence.</w:t>
      </w:r>
    </w:p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Evidence ladder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rPr>
          <w:cantSplit/>
          <w:tblHeader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Class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What it can support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What it cannot support</w:t>
            </w:r>
          </w:p>
        </w:tc>
      </w:tr>
      <w:tr>
        <w:trPr>
          <w:cantSplit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Source identity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exact bytes and contract wording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runtime behaviour</w:t>
            </w:r>
          </w:p>
        </w:tc>
      </w:tr>
      <w:tr>
        <w:trPr>
          <w:cantSplit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Pure JavaScript/helper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deterministic transformation or state result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library, network or browser semantics</w:t>
            </w:r>
          </w:p>
        </w:tc>
      </w:tr>
      <w:tr>
        <w:trPr>
          <w:cantSplit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Fake transport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correlation and cleanup under the fake contract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native WebSocket behaviour</w:t>
            </w:r>
          </w:p>
        </w:tc>
      </w:tr>
      <w:tr>
        <w:trPr>
          <w:cantSplit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Real protocol loopback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actual implementation behaviour on one qualified environment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distributed reliability or production topology</w:t>
            </w:r>
          </w:p>
        </w:tc>
      </w:tr>
      <w:tr>
        <w:trPr>
          <w:cantSplit/>
        </w:trPr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Browser/platform acceptance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focus, reconnect, address-bar or native document behaviour</w:t>
            </w:r>
          </w:p>
        </w:tc>
        <w:tc>
          <w:tcPr>
            <w:tcW w:type="dxa" w:w="3221"/>
          </w:tcPr>
          <w:p>
            <w:pPr>
              <w:spacing w:after="60" w:line="240" w:lineRule="auto"/>
              <w:ind w:firstLine="0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universal compatibility</w:t>
            </w:r>
          </w:p>
        </w:tc>
      </w:tr>
    </w:tbl>
    <w:p>
      <w:pPr>
        <w:pStyle w:val="Heading1"/>
        <w:keepLines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Final retrieval</w:t>
      </w:r>
    </w:p>
    <w:p>
      <w:pPr>
        <w:keepLines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Before leaving C12, write one sentence for each item: owner, correlation/lifecycle invariant, actual witness and untested boundary. Stop at minute 60. The reserved 30 minutes are not overflow.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right"/>
    </w:pPr>
    <w:r>
      <w:rPr>
        <w:rFonts w:ascii="Times New Roman" w:hAnsi="Times New Roman" w:eastAsia="Times New Roman" w:cs="Times New Roman"/>
        <w:sz w:val="18"/>
      </w:rPr>
      <w:t xml:space="preserve">C12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>
      <w:rPr>
        <w:rFonts w:ascii="Times New Roman" w:hAnsi="Times New Roman" w:eastAsia="Times New Roman" w:cs="Times New Roman"/>
        <w:sz w:val="18"/>
      </w:rPr>
      <w:t>WEB TECHNOLOGIES 2026  |  C12  |  WIP/PREVIEW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80"/>
      <w:ind w:firstLine="0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C12 handout</dc:title>
  <dc:subject>C12 local teaching package</dc:subject>
  <dc:creator>TEHNOLOGII WEB 2026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