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Worksheet — Seminar 2</w:t>
      </w:r>
    </w:p>
    <w:p>
      <w:pPr>
        <w:jc w:val="center"/>
      </w:pPr>
      <w:r>
        <w:rPr>
          <w:b/>
          <w:sz w:val="20"/>
        </w:rPr>
        <w:t>TEHNOLOGII WEB 2026 · S02 · v2.1</w:t>
      </w:r>
    </w:p>
    <w:p>
      <w:r>
        <w:t>How do we turn a semantic document into an interface that preserves its content and function when space, content or interaction changes?</w:t>
      </w:r>
    </w:p>
    <w:p>
      <w:pPr>
        <w:pStyle w:val="Heading1"/>
        <w:keepNext/>
      </w:pPr>
      <w:r>
        <w:t>A. Contract before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Question</w:t>
            </w:r>
          </w:p>
        </w:tc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Your answer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Which file may you edit?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What happens at 320 / 768 / 1280 px?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Which shortcut is forbidden?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What evidence could falsify your solution?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B. Three passes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tblHeader w:val="true"/>
        </w:trPr>
        <w:tc>
          <w:tcPr>
            <w:tcW w:type="dxa" w:w="3494"/>
            <w:vAlign w:val="center"/>
            <w:shd w:fill="DDEEEF"/>
          </w:tcPr>
          <w:p>
            <w:r/>
            <w:r>
              <w:rPr>
                <w:b/>
                <w:sz w:val="16"/>
              </w:rPr>
              <w:t>Pass</w:t>
            </w:r>
          </w:p>
        </w:tc>
        <w:tc>
          <w:tcPr>
            <w:tcW w:type="dxa" w:w="3494"/>
            <w:vAlign w:val="center"/>
            <w:shd w:fill="DDEEEF"/>
          </w:tcPr>
          <w:p>
            <w:r/>
            <w:r>
              <w:rPr>
                <w:b/>
                <w:sz w:val="16"/>
              </w:rPr>
              <w:t>Rules implemented</w:t>
            </w:r>
          </w:p>
        </w:tc>
        <w:tc>
          <w:tcPr>
            <w:tcW w:type="dxa" w:w="3494"/>
            <w:vAlign w:val="center"/>
            <w:shd w:fill="DDEEEF"/>
          </w:tcPr>
          <w:p>
            <w:r/>
            <w:r>
              <w:rPr>
                <w:b/>
                <w:sz w:val="16"/>
              </w:rPr>
              <w:t>Evidence</w:t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  <w:t>1 — foundation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  <w:t>2 — relationships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  <w:t>3 — resilience</w:t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3494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C. Multi-viewport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blHeader w:val="true"/>
        </w:trPr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Viewport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Columns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Horizontal scroll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Long content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Focus</w:t>
            </w:r>
          </w:p>
        </w:tc>
        <w:tc>
          <w:tcPr>
            <w:tcW w:type="dxa" w:w="1747"/>
            <w:vAlign w:val="center"/>
            <w:shd w:fill="DDEEEF"/>
          </w:tcPr>
          <w:p>
            <w:r/>
            <w:r>
              <w:rPr>
                <w:b/>
                <w:sz w:val="14"/>
              </w:rPr>
              <w:t>Note</w:t>
            </w:r>
          </w:p>
        </w:tc>
      </w:tr>
      <w:tr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768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1280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1747"/>
            <w:vAlign w:val="center"/>
          </w:tcPr>
          <w:p>
            <w:r/>
            <w:r>
              <w:rPr>
                <w:b w:val="0"/>
                <w:sz w:val="14"/>
              </w:rPr>
            </w:r>
          </w:p>
        </w:tc>
      </w:tr>
    </w:tbl>
    <w:p/>
    <w:p>
      <w:pPr>
        <w:pStyle w:val="Heading1"/>
        <w:keepNext/>
      </w:pPr>
      <w:r>
        <w:t>D. Tests and diff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tblHeader w:val="true"/>
        </w:trPr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Check</w:t>
            </w:r>
          </w:p>
        </w:tc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Before</w:t>
            </w:r>
          </w:p>
        </w:tc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After</w:t>
            </w:r>
          </w:p>
        </w:tc>
        <w:tc>
          <w:tcPr>
            <w:tcW w:type="dxa" w:w="2620"/>
            <w:vAlign w:val="center"/>
            <w:shd w:fill="DDEEEF"/>
          </w:tcPr>
          <w:p>
            <w:r/>
            <w:r>
              <w:rPr>
                <w:b/>
                <w:sz w:val="16"/>
              </w:rPr>
              <w:t>Interpretation</w:t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baseline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objective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EXPECTED FAIL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regression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PASS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diff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  <w:t>1 file</w:t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2620"/>
            <w:vAlign w:val="center"/>
          </w:tcPr>
          <w:p>
            <w:r/>
            <w:r>
              <w:rPr>
                <w:b w:val="0"/>
                <w:sz w:val="16"/>
              </w:rPr>
            </w:r>
          </w:p>
        </w:tc>
      </w:tr>
    </w:tbl>
    <w:p/>
    <w:p>
      <w:pPr>
        <w:pStyle w:val="Heading1"/>
        <w:keepNext/>
      </w:pPr>
      <w:r>
        <w:t>E. Gemini audit</w:t>
      </w:r>
    </w:p>
    <w:p>
      <w:r>
        <w:t>Accepted suggestion + evidence:</w:t>
      </w:r>
    </w:p>
    <w:p>
      <w:r>
        <w:t>____________________________________________________________________________</w:t>
      </w:r>
    </w:p>
    <w:p>
      <w:r>
        <w:t>Rejected or reformulated suggestion + reason:</w:t>
      </w:r>
    </w:p>
    <w:p>
      <w:r>
        <w:t>____________________________________________________________________________</w:t>
      </w:r>
    </w:p>
    <w:p>
      <w:pPr>
        <w:pStyle w:val="Heading1"/>
        <w:keepNext/>
      </w:pPr>
      <w:r>
        <w:t>Exit ticket</w:t>
      </w:r>
    </w:p>
    <w:p>
      <w:r>
        <w:t>Write one layout claim, its mechanism, the evidence and the limit of that evidence. Use 4–6 lines.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pStyle w:val="Caption"/>
      </w:pPr>
      <w:r>
        <w:t>This space is intentional: complete the exit ticket before the minute-60 STOP.</w:t>
      </w:r>
    </w:p>
    <w:p>
      <w:r>
        <w:br w:type="page"/>
      </w:r>
    </w:p>
    <w:p>
      <w:pPr>
        <w:pStyle w:val="Heading1"/>
      </w:pPr>
      <w:r>
        <w:t>F. Optional extension — CSS Museum of Bad Ideas</w:t>
      </w:r>
    </w:p>
    <w:p>
      <w:r>
        <w:t>The extension starts after the minute-60 stop. Complete only the exhibits used in class.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</w:tcPr>
          <w:p>
            <w:r/>
            <w:r>
              <w:rPr>
                <w:b/>
                <w:sz w:val="16"/>
              </w:rPr>
              <w:t>Exhibit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Observed symptom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Likely mechanism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Minimum repair</w:t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800×600 character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Float tic-tac-toe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80/20 chat UI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overflow-x:hidden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</w:tbl>
    <w:p>
      <w:pPr>
        <w:pStyle w:val="Heading1"/>
      </w:pPr>
      <w:r>
        <w:t>G. Adversarial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6"/>
        <w:gridCol w:w="2096"/>
        <w:gridCol w:w="2096"/>
        <w:gridCol w:w="2096"/>
        <w:gridCol w:w="2096"/>
      </w:tblGrid>
      <w:tr>
        <w:trPr>
          <w:tblHeader w:val="true"/>
        </w:trPr>
        <w:tc>
          <w:tcPr>
            <w:tcW w:type="dxa" w:w="2096"/>
          </w:tcPr>
          <w:p>
            <w:r/>
            <w:r>
              <w:rPr>
                <w:b/>
                <w:sz w:val="16"/>
              </w:rPr>
              <w:t>State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Content preserved?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Control operable?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Evidence</w:t>
            </w:r>
          </w:p>
        </w:tc>
        <w:tc>
          <w:tcPr>
            <w:tcW w:type="dxa" w:w="2096"/>
          </w:tcPr>
          <w:p>
            <w:r/>
            <w:r>
              <w:rPr>
                <w:b/>
                <w:sz w:val="16"/>
              </w:rPr>
              <w:t>Limit</w:t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320 px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200% zoom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longer translation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long amount/IBAN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2096"/>
          </w:tcPr>
          <w:p>
            <w:r/>
            <w:r>
              <w:rPr>
                <w:b w:val="0"/>
                <w:sz w:val="15"/>
              </w:rPr>
              <w:t>reduced motion</w:t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096"/>
          </w:tcPr>
          <w:p>
            <w:r/>
            <w:r>
              <w:rPr>
                <w:b w:val="0"/>
                <w:sz w:val="15"/>
              </w:rPr>
            </w:r>
          </w:p>
        </w:tc>
      </w:tr>
    </w:tbl>
    <w:p>
      <w:r>
        <w:t>Conclude in 3–5 lines: when does a valid technique become unsuitable for the current contract?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A80"/>
        <w:sz w:val="16"/>
      </w:rPr>
      <w:t>S02 v2.1 · Student worksheet · 25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E6B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0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1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Worksheet — Seminar 2</dc:title>
  <dc:subject>TEHNOLOGII WEB 2026 — Seminarul 2</dc:subject>
  <dc:creator>TEHNOLOGII WEB 2026</dc:creator>
  <cp:keywords>S02, CSS, responsive, accessibility, en-GB</cp:keywords>
  <dc:description>Didactic artefact generated from the canonical U04 contract without modifying the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