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C09 — Preparation and Transfer</w:t>
      </w:r>
    </w:p>
    <w:p>
      <w:pPr>
        <w:pStyle w:val="Heading1"/>
        <w:widowControl/>
      </w:pPr>
      <w:r>
        <w:t>Before the meeting: a bounded preparation route</w:t>
      </w:r>
    </w:p>
    <w:p>
      <w:pPr>
        <w:widowControl/>
      </w:pPr>
      <w:r>
        <w:t>Set aside approximately 20–30 minutes for reading and prediction outside the meeting; this is a planning suggestion, not a measured duration or an extension of the 60-minute course. Open index.html in a newly extracted public package. Read the four-owner introduction and the source notes for examples 01–03. No installation is needed for this reading route. Do not attempt to provision missing dependencies during class.</w:t>
      </w:r>
    </w:p>
    <w:p>
      <w:pPr>
        <w:widowControl/>
      </w:pPr>
      <w:r>
        <w:t>Write a small table with four rows: URL, editable draft, confirmed resource and initial document. For each, identify an owner, an event that could change it and an observation that would not prove it changed. Use a seeded note, not private data. A local draft edit is not evidence that the API changed; a displayed location is not evidence that Back will skip the form.</w:t>
      </w:r>
    </w:p>
    <w:p>
      <w:pPr>
        <w:pStyle w:val="Heading1"/>
        <w:widowControl/>
      </w:pPr>
      <w:r>
        <w:t>Prediction 1 — location and history</w:t>
      </w:r>
    </w:p>
    <w:p>
      <w:pPr>
        <w:widowControl/>
      </w:pPr>
      <w:r>
        <w:t xml:space="preserve">Start from the declared model history </w:t>
      </w:r>
      <w:r>
        <w:t>[</w:t>
      </w:r>
      <w:r>
        <w:t>/notes, /notes/new], with the second entry selected. Predict the preceding location after successful navigation to /notes/42 when that navigation pushes. Repeat when it replaces. Write both predicted histories before running U02 and U03 in the model laboratory. After observing the model, state why its array operations are not evidence of a browser Back button.</w:t>
      </w:r>
    </w:p>
    <w:p>
      <w:pPr>
        <w:widowControl/>
      </w:pPr>
      <w:r>
        <w:t>Inspect example 01's route family. Distinguish /notes/new from a dynamic detail ID and an unknown path. The exercise is not to implement a new router or to claim that source order alone controls ranked matching. Identify the actual file and the evidence still needed from the pinned React Router application.</w:t>
      </w:r>
    </w:p>
    <w:p>
      <w:pPr>
        <w:pStyle w:val="Heading1"/>
        <w:widowControl/>
      </w:pPr>
      <w:r>
        <w:t>Prediction 2 — a simulated confirmation</w:t>
      </w:r>
    </w:p>
    <w:p>
      <w:pPr>
        <w:widowControl/>
      </w:pPr>
      <w:r>
        <w:t>Read example 02's submit handler. Underline the asynchronous operation, the title check and the navigation call. Does the function send a request, obtain a server identity or use a literal ID? Predict the blank and nonblank branches. Use F01/F02 only after writing a prediction.</w:t>
      </w:r>
    </w:p>
    <w:p>
      <w:pPr>
        <w:widowControl/>
      </w:pPr>
      <w:r>
        <w:t>Keep the phrase “simulated local confirmation” in your note. The historical README's stronger wording is not a substitute for the function body. Do not submit the model output as a Gemini exchange or claim that the model saved a resource. Actual route and server observations belong to a separately qualified application.</w:t>
      </w:r>
    </w:p>
    <w:p>
      <w:pPr>
        <w:pStyle w:val="Heading1"/>
        <w:widowControl/>
      </w:pPr>
      <w:r>
        <w:t>Prediction 3 — confirmed data and failure classes</w:t>
      </w:r>
    </w:p>
    <w:p>
      <w:pPr>
        <w:widowControl/>
      </w:pPr>
      <w:r>
        <w:t>Assume a draft title “  course note  ” and the example-03 server's stated normalisation. Predict the returned title and distinguish confirmed data, draft and status before and after success. Then consider HTTP rejection, rejected transport and malformed JSON separately.</w:t>
      </w:r>
    </w:p>
    <w:p>
      <w:pPr>
        <w:widowControl/>
      </w:pPr>
      <w:r>
        <w:t>Inspect the original save handler before comparing it with derived/request-note.mjs. That helper is a bounded teaching derivative. It validates one note-shaped response and returns a result category; it is neither the original handler nor the complete P02 workspace. State exactly which claim the comparison supports and which browser behaviour remains untested.</w:t>
      </w:r>
    </w:p>
    <w:p>
      <w:pPr>
        <w:pStyle w:val="Heading1"/>
        <w:widowControl/>
      </w:pPr>
      <w:r>
        <w:t>During C09: keep evidence modest and precise</w:t>
      </w:r>
    </w:p>
    <w:p>
      <w:pPr>
        <w:widowControl/>
      </w:pPr>
      <w:r>
        <w:t>Use the interactive lesson's current-block label to stay within the eight intervals. A heading receiving a concise explanation is not omitted: its deeper account remains in the handout. For an actual classroom application demonstration, record the package, the actual runtime, the relevant action and the observed result. If the environment is unavailable, record NOT_EXECUTED and analyse source or model instead. Do not transform a missing module, failed start guard or timeout into a pedagogical assertion failure.</w:t>
      </w:r>
    </w:p>
    <w:p>
      <w:pPr>
        <w:widowControl/>
      </w:pPr>
      <w:r>
        <w:t>The three retrieval moments ask for ownership, history evidence and document-delivery distinctions. Answer individually first. The teacher's keys remain private; there is no public completed assessment to copy. The course ends at minute 60 even when a question remains open. Record it for transfer rather than consuming the reserved 30 minutes.</w:t>
      </w:r>
    </w:p>
    <w:p>
      <w:pPr>
        <w:pStyle w:val="Heading1"/>
        <w:widowControl/>
      </w:pPr>
      <w:r>
        <w:t>Bounded Gemini critique</w:t>
      </w:r>
    </w:p>
    <w:p>
      <w:pPr>
        <w:widowControl/>
      </w:pPr>
      <w:r>
        <w:t>Use one sanitised claim tied to your own source reading, route sketch or trace. The packaged GEMINI_PROMPT.txt asks for an owner, an assumption and one falsifiable check. It does not ask for a complete P01/P02/P03 implementation. Retain only the relevant prompt and answer excerpt; do not include full conversations, account details, API keys, cookies, tokens or institutional information.</w:t>
      </w:r>
    </w:p>
    <w:p>
      <w:pPr>
        <w:widowControl/>
      </w:pPr>
      <w:r>
        <w:t>Independently check the claim using the supplied source, an explicit contract or an actual test when available. Record ACCEPTED, REJECTED, PARTIALLY ACCEPTED or UNKNOWN, then a correction and a limitation. A well-founded UNKNOWN can be an honest judgement about a claim, but it is not a declaration that programming work has passed. A real AI exchange is required for the standard later seminar route; a practice sentence supplied offline cannot impersonate one.</w:t>
      </w:r>
    </w:p>
    <w:p>
      <w:pPr>
        <w:widowControl/>
      </w:pPr>
      <w:r>
        <w:t>The synthetic practice claim is: “If the form reaches /notes/42 and the build passes, server persistence and production deep links are proven.” It is deliberately synthetic, not an actual Gemini response. Separate its claims and identify one counterexample for each without fabricating evidence. A teacher-approved alternative, when genuinely authorised in advance, is a distinct route rather than something a form selector grants.</w:t>
      </w:r>
    </w:p>
    <w:p>
      <w:pPr>
        <w:pStyle w:val="Heading1"/>
        <w:widowControl/>
      </w:pPr>
      <w:r>
        <w:t>Transfer A — P01 central implementation</w:t>
      </w:r>
    </w:p>
    <w:p>
      <w:pPr>
        <w:widowControl/>
      </w:pPr>
      <w:r>
        <w:t>P01 requires list/detail/new/edit, a root redirect, explicit missing-resource and unknown-route states, a shared controlled form, trim/blank validation, cancel without writes, URL-derived identity and correct post-success history. The only assessed file is student/src/NotesApp.jsx. The local synchronous store, fixtures, entry, dependencies and tests are preserved.</w:t>
      </w:r>
    </w:p>
    <w:p>
      <w:pPr>
        <w:widowControl/>
      </w:pPr>
      <w:r>
        <w:t>The source estimates 55–65 minutes for the project alone. The S09 class map offers an 18-minute implementation segment, not the entire project plus evidence and AI critique. Preserve a truthful draft at the stop point, complete outstanding work later and use the deadline eventually set by the teacher. No date is invented in this material.</w:t>
      </w:r>
    </w:p>
    <w:p>
      <w:pPr>
        <w:pStyle w:val="Heading1"/>
        <w:widowControl/>
      </w:pPr>
      <w:r>
        <w:t>Transfer B — P03 required portfolio</w:t>
      </w:r>
    </w:p>
    <w:p>
      <w:pPr>
        <w:widowControl/>
      </w:pPr>
      <w:r>
        <w:t>P03 is required individual reproduce–repair–verify work in student/server/create-production-app.js. Keep the supplied static-only and universal variants intact, as well as the API router, built client and test harness. Classify requests before writing a repair. Include API misses as controls: the supplied API router can already complete a JSON 404 before universal fallback is reached.</w:t>
      </w:r>
    </w:p>
    <w:p>
      <w:pPr>
        <w:widowControl/>
      </w:pPr>
      <w:r>
        <w:t>Use a genuine affected case, such as a missing asset, for the universal variant's defect. Later evidence must distinguish status, representation, body identity and request-log order. Do not rebuild the fixed-name client fixture, move middleware to fabricate the advertised failure or call a predicate model an actual HTTP observation. The source estimate is 40–55 minutes outside the brief class hand-off.</w:t>
      </w:r>
    </w:p>
    <w:p>
      <w:pPr>
        <w:pStyle w:val="Heading1"/>
        <w:widowControl/>
      </w:pPr>
      <w:r>
        <w:t>Transfer C — P02 semester integration</w:t>
      </w:r>
    </w:p>
    <w:p>
      <w:pPr>
        <w:widowControl/>
      </w:pPr>
      <w:r>
        <w:t>P02 transfers the adapter and confirmed-state boundaries to the semester project. It is neither a second full implementation inside S09 nor a simple renaming of Week 08's optional P02. The source estimate is 70–90 minutes. Its full implementation is not a hidden scoring item in the S09 P01/P03 rubric.</w:t>
      </w:r>
    </w:p>
    <w:p>
      <w:pPr>
        <w:widowControl/>
      </w:pPr>
      <w:r>
        <w:t>Prepare a short ownership map for confirmed notes, draft and request status. Identify refresh-versus-refresh, refresh-versus-confirmed-mutation and cleanup-versus-late-settlement as separate cases. Read the supplied API object rather than assuming every method in the broad specification exists. P02 has no new router or database requirement here.</w:t>
      </w:r>
    </w:p>
    <w:p>
      <w:pPr>
        <w:pStyle w:val="Heading1"/>
        <w:widowControl/>
      </w:pPr>
      <w:r>
        <w:t>Record template for personal preparation</w:t>
      </w:r>
    </w:p>
    <w:p>
      <w:pPr>
        <w:widowControl/>
      </w:pPr>
      <w:r>
        <w:t>Use the following labels in your own notes: source and line; initial fixture; prediction; evidence class; actual action or NOT_EXECUTED; observation; claim evaluated; independent check; verdict; correction; limit; unfinished work. Leave a field blank or pending when no evidence exists. Do not prefill this template with model output and then label it actual.</w:t>
      </w:r>
    </w:p>
    <w:p>
      <w:pPr>
        <w:widowControl/>
      </w:pPr>
      <w:r>
        <w:t>Preparation does not create a C09 Assignment. The later implemented S09 form will consolidate individual P01/P03 evidence and the bounded AI critique into one readable PDF for one private Moodle Assignment. Saving a note, requesting a download and submitting to Moodle are different actions. This C09 package performs none of them on your behalf.</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C09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C09_PREPARATION_TRANSFER</dc:title>
  <dc:subject>C09 — Routing, Forms and Full-Stack React</dc:subject>
  <dc:creator>Web Technologies teaching materials</dc:creator>
  <cp:keywords>C09;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