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ind w:firstLine="0"/>
        <w:jc w:val="left"/>
      </w:pPr>
      <w:r>
        <w:rPr>
          <w:rFonts w:ascii="Times New Roman" w:hAnsi="Times New Roman" w:eastAsia="Times New Roman" w:cs="Times New Roman"/>
          <w:b w:val="0"/>
          <w:i w:val="0"/>
          <w:sz w:val="24"/>
        </w:rPr>
        <w:t>C10 — Client State and Frontend Architecture</w:t>
      </w:r>
    </w:p>
    <w:p>
      <w:pPr>
        <w:pStyle w:val="Heading1"/>
        <w:keepLines/>
        <w:ind w:firstLine="0"/>
        <w:jc w:val="left"/>
      </w:pPr>
      <w:r>
        <w:rPr>
          <w:rFonts w:ascii="Times New Roman" w:hAnsi="Times New Roman" w:eastAsia="Times New Roman" w:cs="Times New Roman"/>
          <w:b w:val="0"/>
          <w:i w:val="0"/>
          <w:sz w:val="24"/>
        </w:rPr>
        <w:t>Reading contract</w:t>
      </w:r>
    </w:p>
    <w:p>
      <w:pPr>
        <w:keepLines/>
        <w:jc w:val="both"/>
      </w:pPr>
      <w:r>
        <w:rPr>
          <w:rFonts w:ascii="Times New Roman" w:hAnsi="Times New Roman" w:eastAsia="Times New Roman" w:cs="Times New Roman"/>
          <w:b w:val="0"/>
          <w:i w:val="0"/>
          <w:sz w:val="24"/>
        </w:rPr>
        <w:t>Who owns each value, for which consumers and lifetime, and what evidence makes a broader state boundary necessary? Begin with this question, not a preferred library. This handout follows all 34 numbered topics of the canonical Unit 10 lecture. It distinguishes exact source examples, derived explanations and deliberately bounded teaching models. It is not a completed implementation of a seminar project.</w:t>
      </w:r>
    </w:p>
    <w:p>
      <w:pPr>
        <w:keepLines/>
        <w:jc w:val="both"/>
      </w:pPr>
      <w:r>
        <w:rPr>
          <w:rFonts w:ascii="Times New Roman" w:hAnsi="Times New Roman" w:eastAsia="Times New Roman" w:cs="Times New Roman"/>
          <w:b w:val="0"/>
          <w:i w:val="0"/>
          <w:sz w:val="24"/>
        </w:rPr>
        <w:t>The scheduled content ends at minute 60. The other 30 minutes reserved in the timetable are not overflow, hidden installation time or an extra implementation segment. Three retrieval intermezzos sit inside the eight content blocks. Reading depth beyond those blocks is preparation or transfer work, not a claim that everything can be performed during the meeting.</w:t>
      </w:r>
    </w:p>
    <w:p>
      <w:pPr>
        <w:keepLines/>
        <w:jc w:val="both"/>
      </w:pPr>
      <w:r>
        <w:rPr>
          <w:rFonts w:ascii="Times New Roman" w:hAnsi="Times New Roman" w:eastAsia="Times New Roman" w:cs="Times New Roman"/>
          <w:b w:val="0"/>
          <w:i w:val="0"/>
          <w:sz w:val="24"/>
        </w:rPr>
        <w:t>P01 Shared Workshop State is the full central implementation. P02 Redux Toolkit Notification Center is optional advanced work. P03 contributes a required state Architecture Decision Record (ADR) to the semester project; completing its entire comparator is separate follow-up, not a hidden S10 requirement. C10 creates no additional Moodle Assignment.</w:t>
      </w:r>
    </w:p>
    <w:p>
      <w:pPr>
        <w:keepLines/>
        <w:jc w:val="both"/>
      </w:pPr>
      <w:r>
        <w:rPr>
          <w:rFonts w:ascii="Times New Roman" w:hAnsi="Times New Roman" w:eastAsia="Times New Roman" w:cs="Times New Roman"/>
          <w:b w:val="0"/>
          <w:i w:val="0"/>
          <w:sz w:val="24"/>
        </w:rPr>
        <w:t>The offline lesson and models need no package installation. The React examples are source projects, not applications that work by double-clicking their source HTML. Consult RUN_EXAMPLES.md before any later, separately authorised use of a qualified environment. Historical README validation statements are not fresh results. WIP/PREVIEW does not mean FINAL.</w:t>
      </w:r>
    </w:p>
    <w:p>
      <w:pPr>
        <w:pStyle w:val="Heading1"/>
        <w:keepLines/>
        <w:ind w:firstLine="0"/>
        <w:jc w:val="left"/>
      </w:pPr>
      <w:r>
        <w:rPr>
          <w:rFonts w:ascii="Times New Roman" w:hAnsi="Times New Roman" w:eastAsia="Times New Roman" w:cs="Times New Roman"/>
          <w:b w:val="0"/>
          <w:i w:val="0"/>
          <w:sz w:val="24"/>
        </w:rPr>
        <w:t>How to read the evidence labels</w:t>
      </w:r>
    </w:p>
    <w:p>
      <w:pPr>
        <w:keepLines/>
        <w:jc w:val="both"/>
      </w:pPr>
      <w:r>
        <w:rPr>
          <w:rFonts w:ascii="Times New Roman" w:hAnsi="Times New Roman" w:eastAsia="Times New Roman" w:cs="Times New Roman"/>
          <w:b w:val="0"/>
          <w:i w:val="0"/>
          <w:sz w:val="24"/>
        </w:rPr>
        <w:t>CAN-01 to CAN-34 identify the numbered lecture topics. EX-01 to EX-05 identify the five exact example directories. N-01 to N-10 in SOURCE_NOTES.md identify derived corrections or boundaries. LAB-M01 onwards are finite model scenarios, not React, Redux Toolkit or browser observations. R1 to R4 identify current primary documentation used only for semantic corroboration. The original lecture and retrieval answer keys remain in the teacher package.</w:t>
      </w:r>
    </w:p>
    <w:p>
      <w:pPr>
        <w:pStyle w:val="Heading1"/>
        <w:keepLines/>
        <w:ind w:firstLine="0"/>
        <w:jc w:val="left"/>
      </w:pPr>
      <w:r>
        <w:rPr>
          <w:rFonts w:ascii="Times New Roman" w:hAnsi="Times New Roman" w:eastAsia="Times New Roman" w:cs="Times New Roman"/>
          <w:b w:val="0"/>
          <w:i w:val="0"/>
          <w:sz w:val="24"/>
        </w:rPr>
        <w:t>Qualification boundary</w:t>
      </w:r>
    </w:p>
    <w:p>
      <w:pPr>
        <w:keepLines/>
        <w:jc w:val="both"/>
      </w:pPr>
      <w:r>
        <w:rPr>
          <w:rFonts w:ascii="Times New Roman" w:hAnsi="Times New Roman" w:eastAsia="Times New Roman" w:cs="Times New Roman"/>
          <w:b w:val="0"/>
          <w:i w:val="0"/>
          <w:sz w:val="24"/>
        </w:rPr>
        <w:t>WIP/PREVIEW_NOT_FINAL. Current checks cover source/function/model or DOM stand-ins. They do not execute React, Redux Toolkit, Immer, Vite, Vitest or a browser. The prescribed Node 24.21.0/npm 11.19.0 was neither acquired nor qualified. Historical README statements remain historical. A build, hash, model output and actual UI trace answer different questions.</w:t>
      </w:r>
    </w:p>
    <w:p>
      <w:pPr>
        <w:pStyle w:val="Heading2"/>
        <w:keepLines/>
        <w:pageBreakBefore/>
        <w:ind w:firstLine="0"/>
        <w:jc w:val="left"/>
      </w:pPr>
      <w:r>
        <w:rPr>
          <w:rFonts w:ascii="Times New Roman" w:hAnsi="Times New Roman" w:eastAsia="Times New Roman" w:cs="Times New Roman"/>
          <w:b w:val="0"/>
          <w:i w:val="0"/>
          <w:sz w:val="24"/>
        </w:rPr>
        <w:t>1. Local state is a complete architecture</w:t>
      </w:r>
    </w:p>
    <w:p>
      <w:pPr>
        <w:keepLines/>
        <w:jc w:val="both"/>
      </w:pPr>
      <w:r>
        <w:rPr>
          <w:rFonts w:ascii="Times New Roman" w:hAnsi="Times New Roman" w:eastAsia="Times New Roman" w:cs="Times New Roman"/>
          <w:b w:val="0"/>
          <w:i w:val="0"/>
          <w:sz w:val="24"/>
        </w:rPr>
        <w:t>A draft, disclosure flag or widget tab is not incomplete merely because it uses local state. Record the component responsible for changing it and the lifetime over which it must survive. If one component owns both the interaction and its consumers, a wider store adds coordination without supplying a missing requirement.</w:t>
      </w:r>
    </w:p>
    <w:p>
      <w:pPr>
        <w:keepLines/>
        <w:jc w:val="both"/>
      </w:pPr>
      <w:r>
        <w:rPr>
          <w:rFonts w:ascii="Times New Roman" w:hAnsi="Times New Roman" w:eastAsia="Times New Roman" w:cs="Times New Roman"/>
          <w:b w:val="0"/>
          <w:i w:val="0"/>
          <w:sz w:val="24"/>
        </w:rPr>
        <w:t>In the workshop target, each card owns its disclosure state. A promise that disclosure survives an unrelated shared update is narrower than a promise that it survives the card being removed and mounted again. State the lifetime actually observed. An isolated boolean does not need Redux because the surrounding application is large.</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event ends the lifetime of this value?</w:t>
      </w:r>
    </w:p>
    <w:p>
      <w:pPr>
        <w:keepLines/>
        <w:jc w:val="both"/>
      </w:pPr>
      <w:r>
        <w:rPr>
          <w:rFonts w:ascii="Times New Roman" w:hAnsi="Times New Roman" w:eastAsia="Times New Roman" w:cs="Times New Roman"/>
          <w:b w:val="0"/>
          <w:i/>
          <w:sz w:val="24"/>
        </w:rPr>
        <w:t>Basis: CAN-01;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 Lift only for shared coordination</w:t>
      </w:r>
    </w:p>
    <w:p>
      <w:pPr>
        <w:keepLines/>
        <w:jc w:val="both"/>
      </w:pPr>
      <w:r>
        <w:rPr>
          <w:rFonts w:ascii="Times New Roman" w:hAnsi="Times New Roman" w:eastAsia="Times New Roman" w:cs="Times New Roman"/>
          <w:b w:val="0"/>
          <w:i w:val="0"/>
          <w:sz w:val="24"/>
        </w:rPr>
        <w:t>When sibling consumers must agree, place the authoritative value in their nearest common owner and pass a value down with a callback representing intent. This is a coordination decision, not a ban on props. The owner can derive several views from one value without creating several synchronised copies.</w:t>
      </w:r>
    </w:p>
    <w:p>
      <w:pPr>
        <w:keepLines/>
        <w:jc w:val="both"/>
      </w:pPr>
      <w:r>
        <w:rPr>
          <w:rFonts w:ascii="Times New Roman" w:hAnsi="Times New Roman" w:eastAsia="Times New Roman" w:cs="Times New Roman"/>
          <w:b w:val="0"/>
          <w:i w:val="0"/>
          <w:sz w:val="24"/>
        </w:rPr>
        <w:t>EX-01 keeps its filter in App and supplies Filter with a value and callback; Count receives the derived visible items. The filter is shared through that common owner. In P01, search is local relative to the shared Context boundary, but its actual owner is WorkshopWorkspace, not the toolbar that renders the input. Preserve that source distinction (N-02).</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Name the common owner rather than only the input component.</w:t>
      </w:r>
    </w:p>
    <w:p>
      <w:pPr>
        <w:keepLines/>
        <w:jc w:val="both"/>
      </w:pPr>
      <w:r>
        <w:rPr>
          <w:rFonts w:ascii="Times New Roman" w:hAnsi="Times New Roman" w:eastAsia="Times New Roman" w:cs="Times New Roman"/>
          <w:b w:val="0"/>
          <w:i/>
          <w:sz w:val="24"/>
        </w:rPr>
        <w:t>Basis: CAN-02;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3. Prop passing is explicit</w:t>
      </w:r>
    </w:p>
    <w:p>
      <w:pPr>
        <w:keepLines/>
        <w:jc w:val="both"/>
      </w:pPr>
      <w:r>
        <w:rPr>
          <w:rFonts w:ascii="Times New Roman" w:hAnsi="Times New Roman" w:eastAsia="Times New Roman" w:cs="Times New Roman"/>
          <w:b w:val="0"/>
          <w:i w:val="0"/>
          <w:sz w:val="24"/>
        </w:rPr>
        <w:t>Props show where a value enters a component and callbacks expose who may request a change. Passing through several layers can become burdensome when intermediates merely forward contracts. First identify those intermediates and the changes they must carry. Counting files or disliking callback syntax is not evidence of a coordination problem.</w:t>
      </w:r>
    </w:p>
    <w:p>
      <w:pPr>
        <w:keepLines/>
        <w:jc w:val="both"/>
      </w:pPr>
      <w:r>
        <w:rPr>
          <w:rFonts w:ascii="Times New Roman" w:hAnsi="Times New Roman" w:eastAsia="Times New Roman" w:cs="Times New Roman"/>
          <w:b w:val="0"/>
          <w:i w:val="0"/>
          <w:sz w:val="24"/>
        </w:rPr>
        <w:t>The preserved P01 save/count witness is deliberately small. It does not contain a measured deep chain or every behaviour of the workshop target. Compare only its actual shared action, then document the additional target behaviours separately. Context cannot be justified by attributing absent complexity to the comparator (N-02).</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does the comparator actually implement?</w:t>
      </w:r>
    </w:p>
    <w:p>
      <w:pPr>
        <w:keepLines/>
        <w:jc w:val="both"/>
      </w:pPr>
      <w:r>
        <w:rPr>
          <w:rFonts w:ascii="Times New Roman" w:hAnsi="Times New Roman" w:eastAsia="Times New Roman" w:cs="Times New Roman"/>
          <w:b w:val="0"/>
          <w:i/>
          <w:sz w:val="24"/>
        </w:rPr>
        <w:t>Basis: CAN-03;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4. Derived values are not new state</w:t>
      </w:r>
    </w:p>
    <w:p>
      <w:pPr>
        <w:keepLines/>
        <w:jc w:val="both"/>
      </w:pPr>
      <w:r>
        <w:rPr>
          <w:rFonts w:ascii="Times New Roman" w:hAnsi="Times New Roman" w:eastAsia="Times New Roman" w:cs="Times New Roman"/>
          <w:b w:val="0"/>
          <w:i w:val="0"/>
          <w:sz w:val="24"/>
        </w:rPr>
        <w:t>A filtered list, unread count or selected entity is normally a calculation from authoritative inputs. Storing it independently introduces a second value that every relevant transition must keep consistent. Write down the derivation before adding a setter or an effect to synchronise copies.</w:t>
      </w:r>
    </w:p>
    <w:p>
      <w:pPr>
        <w:keepLines/>
        <w:jc w:val="both"/>
      </w:pPr>
      <w:r>
        <w:rPr>
          <w:rFonts w:ascii="Times New Roman" w:hAnsi="Times New Roman" w:eastAsia="Times New Roman" w:cs="Times New Roman"/>
          <w:b w:val="0"/>
          <w:i w:val="0"/>
          <w:sz w:val="24"/>
        </w:rPr>
        <w:t>EX-01 computes visible from tasks and filter, then Count reads visible.length. The count has no independent update operation. In the notification example, read flags belong to entities and the unread count is calculated from them. This is a correctness and ownership argument; it does not establish that a derivation is free or that all selectors need memoisation.</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single update would make a copied count stale?</w:t>
      </w:r>
    </w:p>
    <w:p>
      <w:pPr>
        <w:keepLines/>
        <w:jc w:val="both"/>
      </w:pPr>
      <w:r>
        <w:rPr>
          <w:rFonts w:ascii="Times New Roman" w:hAnsi="Times New Roman" w:eastAsia="Times New Roman" w:cs="Times New Roman"/>
          <w:b w:val="0"/>
          <w:i/>
          <w:sz w:val="24"/>
        </w:rPr>
        <w:t>Basis: CAN-04;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5. Server authority remains distinct</w:t>
      </w:r>
    </w:p>
    <w:p>
      <w:pPr>
        <w:keepLines/>
        <w:jc w:val="both"/>
      </w:pPr>
      <w:r>
        <w:rPr>
          <w:rFonts w:ascii="Times New Roman" w:hAnsi="Times New Roman" w:eastAsia="Times New Roman" w:cs="Times New Roman"/>
          <w:b w:val="0"/>
          <w:i w:val="0"/>
          <w:sz w:val="24"/>
        </w:rPr>
        <w:t>Moving a resource representation into Context or Redux changes how client consumers read it; it does not change who confirms the resource. Keep draft, confirmed representation and lifecycle status conceptually separate. A loading flag describes work in progress, not successful persistence.</w:t>
      </w:r>
    </w:p>
    <w:p>
      <w:pPr>
        <w:keepLines/>
        <w:jc w:val="both"/>
      </w:pPr>
      <w:r>
        <w:rPr>
          <w:rFonts w:ascii="Times New Roman" w:hAnsi="Times New Roman" w:eastAsia="Times New Roman" w:cs="Times New Roman"/>
          <w:b w:val="0"/>
          <w:i w:val="0"/>
          <w:sz w:val="24"/>
        </w:rPr>
        <w:t>For the supplied U10 P02 demonstration, the injected notifications API operates on an in-memory array. Its confirmation establishes the local adapter contract, not an HTTP response or durable server update. The supplied MemoryRouter also does not demonstrate native address-bar history. A later server integration needs its own evidence rather than a change of label (N-07).</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Is this authority a real server or the supplied local adapter?</w:t>
      </w:r>
    </w:p>
    <w:p>
      <w:pPr>
        <w:keepLines/>
        <w:jc w:val="both"/>
      </w:pPr>
      <w:r>
        <w:rPr>
          <w:rFonts w:ascii="Times New Roman" w:hAnsi="Times New Roman" w:eastAsia="Times New Roman" w:cs="Times New Roman"/>
          <w:b w:val="0"/>
          <w:i/>
          <w:sz w:val="24"/>
        </w:rPr>
        <w:t>Basis: CAN-05;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6. Worked example — state ownership map</w:t>
      </w:r>
    </w:p>
    <w:p>
      <w:pPr>
        <w:keepLines/>
        <w:jc w:val="both"/>
      </w:pPr>
      <w:r>
        <w:rPr>
          <w:rFonts w:ascii="Times New Roman" w:hAnsi="Times New Roman" w:eastAsia="Times New Roman" w:cs="Times New Roman"/>
          <w:b w:val="0"/>
          <w:i w:val="0"/>
          <w:sz w:val="24"/>
        </w:rPr>
        <w:t>EX-01 displays two tasks, a filter input, a visible count and a list. Predict the count for an empty filter, a matching word and a word absent from both titles. Observe the same filter being passed to the input and used to derive the visible list. There is no independent count state.</w:t>
      </w:r>
    </w:p>
    <w:p>
      <w:pPr>
        <w:keepLines/>
        <w:jc w:val="both"/>
      </w:pPr>
      <w:r>
        <w:rPr>
          <w:rFonts w:ascii="Times New Roman" w:hAnsi="Times New Roman" w:eastAsia="Times New Roman" w:cs="Times New Roman"/>
          <w:b w:val="0"/>
          <w:i w:val="0"/>
          <w:sz w:val="24"/>
        </w:rPr>
        <w:t>Its README mentions a four-row ownership table, but that table is not in the supplied JSX. The four-row inventory in this handout is derived teaching material, not a claimed screenshot of the application. Preserve the exact source and record any actual run separately. LAB-M01/M02 reproduce filtering logic as plain JavaScript, not a mounted React tree (N-01).</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Can a source description and its actual UI differ without a build failure?</w:t>
      </w:r>
    </w:p>
    <w:p>
      <w:pPr>
        <w:keepLines/>
        <w:jc w:val="both"/>
      </w:pPr>
      <w:r>
        <w:rPr>
          <w:rFonts w:ascii="Times New Roman" w:hAnsi="Times New Roman" w:eastAsia="Times New Roman" w:cs="Times New Roman"/>
          <w:b w:val="0"/>
          <w:i/>
          <w:sz w:val="24"/>
        </w:rPr>
        <w:t>Basis: CAN-06;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7. Reducers name transitions</w:t>
      </w:r>
    </w:p>
    <w:p>
      <w:pPr>
        <w:keepLines/>
        <w:jc w:val="both"/>
      </w:pPr>
      <w:r>
        <w:rPr>
          <w:rFonts w:ascii="Times New Roman" w:hAnsi="Times New Roman" w:eastAsia="Times New Roman" w:cs="Times New Roman"/>
          <w:b w:val="0"/>
          <w:i w:val="0"/>
          <w:sz w:val="24"/>
        </w:rPr>
        <w:t>A reducer expresses next state as a function of previous state and an event. Use one when related transitions and invariants benefit from a single inspectable boundary. The source contract requires pure transitions: do not mutate the incoming state or generate external effects inside the reducer.</w:t>
      </w:r>
    </w:p>
    <w:p>
      <w:pPr>
        <w:keepLines/>
        <w:jc w:val="both"/>
      </w:pPr>
      <w:r>
        <w:rPr>
          <w:rFonts w:ascii="Times New Roman" w:hAnsi="Times New Roman" w:eastAsia="Times New Roman" w:cs="Times New Roman"/>
          <w:b w:val="0"/>
          <w:i w:val="0"/>
          <w:sz w:val="24"/>
        </w:rPr>
        <w:t xml:space="preserve">Before executing a transition, record before/event/after and the fields that must remain unchanged. A frozen-input check can expose mutation in a plain-function test. It does not prove that a React component mounted correctly. Returning the same reference for a genuine no-op can itself be part of the contract; do not allocate merely to make a log look different.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R1]</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invariant spans more than one event?</w:t>
      </w:r>
    </w:p>
    <w:p>
      <w:pPr>
        <w:keepLines/>
        <w:jc w:val="both"/>
      </w:pPr>
      <w:r>
        <w:rPr>
          <w:rFonts w:ascii="Times New Roman" w:hAnsi="Times New Roman" w:eastAsia="Times New Roman" w:cs="Times New Roman"/>
          <w:b w:val="0"/>
          <w:i/>
          <w:sz w:val="24"/>
        </w:rPr>
        <w:t>Basis: CAN-07;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8. Events describe domain intent</w:t>
      </w:r>
    </w:p>
    <w:p>
      <w:pPr>
        <w:keepLines/>
        <w:jc w:val="both"/>
      </w:pPr>
      <w:r>
        <w:rPr>
          <w:rFonts w:ascii="Times New Roman" w:hAnsi="Times New Roman" w:eastAsia="Times New Roman" w:cs="Times New Roman"/>
          <w:b w:val="0"/>
          <w:i w:val="0"/>
          <w:sz w:val="24"/>
        </w:rPr>
        <w:t>An event such as session/toggled names a user intention rather than exposing arbitrary assignments to callers. A focused vocabulary makes unsupported event types visible and prevents generated typos being silently accepted. Error wording should be stable enough to identify the specific contract failure.</w:t>
      </w:r>
    </w:p>
    <w:p>
      <w:pPr>
        <w:keepLines/>
        <w:jc w:val="both"/>
      </w:pPr>
      <w:r>
        <w:rPr>
          <w:rFonts w:ascii="Times New Roman" w:hAnsi="Times New Roman" w:eastAsia="Times New Roman" w:cs="Times New Roman"/>
          <w:b w:val="0"/>
          <w:i w:val="0"/>
          <w:sz w:val="24"/>
        </w:rPr>
        <w:t>Do not confuse seed normalisation with event deduplication. Removing repeated saved IDs from an initial array is different from rejecting duplicate event deliveries. Two deliberate toggles of the same ID reverse one another; the supplied P01 contract has no event-ID ledger. Values outside the canonical UI are labelled boundary cases, not automatically new student obligations (N-04).</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Are these duplicate values or two actual events?</w:t>
      </w:r>
    </w:p>
    <w:p>
      <w:pPr>
        <w:keepLines/>
        <w:jc w:val="both"/>
      </w:pPr>
      <w:r>
        <w:rPr>
          <w:rFonts w:ascii="Times New Roman" w:hAnsi="Times New Roman" w:eastAsia="Times New Roman" w:cs="Times New Roman"/>
          <w:b w:val="0"/>
          <w:i/>
          <w:sz w:val="24"/>
        </w:rPr>
        <w:t>Basis: CAN-08;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9. useReducer does not create global state</w:t>
      </w:r>
    </w:p>
    <w:p>
      <w:pPr>
        <w:keepLines/>
        <w:jc w:val="both"/>
      </w:pPr>
      <w:r>
        <w:rPr>
          <w:rFonts w:ascii="Times New Roman" w:hAnsi="Times New Roman" w:eastAsia="Times New Roman" w:cs="Times New Roman"/>
          <w:b w:val="0"/>
          <w:i w:val="0"/>
          <w:sz w:val="24"/>
        </w:rPr>
        <w:t>useReducer changes the transition interface, not the owning component. The component or provider that calls it still owns the state value. A reducer function may be shared as code without sharing one mutable state instance among all callers.</w:t>
      </w:r>
    </w:p>
    <w:p>
      <w:pPr>
        <w:keepLines/>
        <w:jc w:val="both"/>
      </w:pPr>
      <w:r>
        <w:rPr>
          <w:rFonts w:ascii="Times New Roman" w:hAnsi="Times New Roman" w:eastAsia="Times New Roman" w:cs="Times New Roman"/>
          <w:b w:val="0"/>
          <w:i w:val="0"/>
          <w:sz w:val="24"/>
        </w:rPr>
        <w:t xml:space="preserve">React documents a stable dispatch identity. This is not a guarantee that consumers never render. A caller that reads state still needs updates when the relevant value changes. Keep hook semantics, pure-function probes and render-count measurements separate. This course does not claim an actual StrictMode run or mounted provider test from its plain JavaScript models.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R1, R2]</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Where is the owning hook called?</w:t>
      </w:r>
    </w:p>
    <w:p>
      <w:pPr>
        <w:keepLines/>
        <w:jc w:val="both"/>
      </w:pPr>
      <w:r>
        <w:rPr>
          <w:rFonts w:ascii="Times New Roman" w:hAnsi="Times New Roman" w:eastAsia="Times New Roman" w:cs="Times New Roman"/>
          <w:b w:val="0"/>
          <w:i/>
          <w:sz w:val="24"/>
        </w:rPr>
        <w:t>Basis: CAN-09;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10. Worked example — reducer event trace</w:t>
      </w:r>
    </w:p>
    <w:p>
      <w:pPr>
        <w:keepLines/>
        <w:jc w:val="both"/>
      </w:pPr>
      <w:r>
        <w:rPr>
          <w:rFonts w:ascii="Times New Roman" w:hAnsi="Times New Roman" w:eastAsia="Times New Roman" w:cs="Times New Roman"/>
          <w:b w:val="0"/>
          <w:i w:val="0"/>
          <w:sz w:val="24"/>
        </w:rPr>
        <w:t>EX-02 starts with enabled:false and seats:1. Its two events toggle enabled and increment seats. Predict a toggle followed by an increment: the expected state is enabled:true and seats:2, while the original snapshot remains unchanged. An unsupported type throws an error naming that event.</w:t>
      </w:r>
    </w:p>
    <w:p>
      <w:pPr>
        <w:keepLines/>
        <w:jc w:val="both"/>
      </w:pPr>
      <w:r>
        <w:rPr>
          <w:rFonts w:ascii="Times New Roman" w:hAnsi="Times New Roman" w:eastAsia="Times New Roman" w:cs="Times New Roman"/>
          <w:b w:val="0"/>
          <w:i w:val="0"/>
          <w:sz w:val="24"/>
        </w:rPr>
        <w:t>LAB-M03/M04 use this small lecture domain rather than implementing the assessed workshop provider. A direct function trace can test values and mutation boundaries. To claim that clicking the rendered controls produced the same result, a separate actual React observation is required. The README’s earlier build/browser statement remains historical, not a new test log.</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does a reducer trace establish that a screenshot alone does not?</w:t>
      </w:r>
    </w:p>
    <w:p>
      <w:pPr>
        <w:keepLines/>
        <w:jc w:val="both"/>
      </w:pPr>
      <w:r>
        <w:rPr>
          <w:rFonts w:ascii="Times New Roman" w:hAnsi="Times New Roman" w:eastAsia="Times New Roman" w:cs="Times New Roman"/>
          <w:b w:val="0"/>
          <w:i/>
          <w:sz w:val="24"/>
        </w:rPr>
        <w:t>Basis: CAN-10;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11. Context solves tree access</w:t>
      </w:r>
    </w:p>
    <w:p>
      <w:pPr>
        <w:keepLines/>
        <w:jc w:val="both"/>
      </w:pPr>
      <w:r>
        <w:rPr>
          <w:rFonts w:ascii="Times New Roman" w:hAnsi="Times New Roman" w:eastAsia="Times New Roman" w:cs="Times New Roman"/>
          <w:b w:val="0"/>
          <w:i w:val="0"/>
          <w:sz w:val="24"/>
        </w:rPr>
        <w:t>Context lets descendants read a provided value without forwarding it through every intermediate component. It is a delivery mechanism for a value within a tree, not an automatic design for caching, persistence, asynchronous lifecycle or normalised entities.</w:t>
      </w:r>
    </w:p>
    <w:p>
      <w:pPr>
        <w:keepLines/>
        <w:jc w:val="both"/>
      </w:pPr>
      <w:r>
        <w:rPr>
          <w:rFonts w:ascii="Times New Roman" w:hAnsi="Times New Roman" w:eastAsia="Times New Roman" w:cs="Times New Roman"/>
          <w:b w:val="0"/>
          <w:i w:val="0"/>
          <w:sz w:val="24"/>
        </w:rPr>
        <w:t xml:space="preserve">Specify the provider’s scope before choosing Context. Consumers read the appropriate nearest provider, while consumers of a changing value subscribe to that context. Replacing props with a single overly broad value can change the update boundary without clarifying ownership. Describe which value changes and which consumers need it; do not report a performance gain without measuring the intended workload.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R2]</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problem does Context solve here, and which does it leave unsolved?</w:t>
      </w:r>
    </w:p>
    <w:p>
      <w:pPr>
        <w:keepLines/>
        <w:jc w:val="both"/>
      </w:pPr>
      <w:r>
        <w:rPr>
          <w:rFonts w:ascii="Times New Roman" w:hAnsi="Times New Roman" w:eastAsia="Times New Roman" w:cs="Times New Roman"/>
          <w:b w:val="0"/>
          <w:i/>
          <w:sz w:val="24"/>
        </w:rPr>
        <w:t>Basis: CAN-11;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12. Providers own state</w:t>
      </w:r>
    </w:p>
    <w:p>
      <w:pPr>
        <w:keepLines/>
        <w:jc w:val="both"/>
      </w:pPr>
      <w:r>
        <w:rPr>
          <w:rFonts w:ascii="Times New Roman" w:hAnsi="Times New Roman" w:eastAsia="Times New Roman" w:cs="Times New Roman"/>
          <w:b w:val="0"/>
          <w:i w:val="0"/>
          <w:sz w:val="24"/>
        </w:rPr>
        <w:t>A useful boundary may combine a provider, pure reducer, state context, dispatch context and guarded hooks. In P01 the shared domain is only track and savedIds. Search, derived counts and card disclosure remain outside it. That is a scope rule, not a request to replace all local controls.</w:t>
      </w:r>
    </w:p>
    <w:p>
      <w:pPr>
        <w:keepLines/>
        <w:jc w:val="both"/>
      </w:pPr>
      <w:r>
        <w:rPr>
          <w:rFonts w:ascii="Times New Roman" w:hAnsi="Times New Roman" w:eastAsia="Times New Roman" w:cs="Times New Roman"/>
          <w:b w:val="0"/>
          <w:i w:val="0"/>
          <w:sz w:val="24"/>
        </w:rPr>
        <w:t>The canonical comment about separate contexts reverses the beneficiary: dispatch-only consumers need not subscribe to the changing state context. It does not protect state readers from necessary state updates or eliminate parent-driven renders. The derived note corrects the explanation without changing the assessed provider source or supplying its implementation (N-03).</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Does this consumer read state, dispatch intent or both?</w:t>
      </w:r>
    </w:p>
    <w:p>
      <w:pPr>
        <w:keepLines/>
        <w:jc w:val="both"/>
      </w:pPr>
      <w:r>
        <w:rPr>
          <w:rFonts w:ascii="Times New Roman" w:hAnsi="Times New Roman" w:eastAsia="Times New Roman" w:cs="Times New Roman"/>
          <w:b w:val="0"/>
          <w:i/>
          <w:sz w:val="24"/>
        </w:rPr>
        <w:t>Basis: CAN-12;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13. Provider instances must be isolated</w:t>
      </w:r>
    </w:p>
    <w:p>
      <w:pPr>
        <w:keepLines/>
        <w:jc w:val="both"/>
      </w:pPr>
      <w:r>
        <w:rPr>
          <w:rFonts w:ascii="Times New Roman" w:hAnsi="Times New Roman" w:eastAsia="Times New Roman" w:cs="Times New Roman"/>
          <w:b w:val="0"/>
          <w:i w:val="0"/>
          <w:sz w:val="24"/>
        </w:rPr>
        <w:t>Two independent provider instances must not inadvertently share one mutable value. The same reducer code can operate on two different initial states. Cloning nested seed arrays prevents one owner’s updates from aliasing another’s mutable data. These are distinct checks: pure initialisation, pure transition and actual mounted isolation.</w:t>
      </w:r>
    </w:p>
    <w:p>
      <w:pPr>
        <w:keepLines/>
        <w:jc w:val="both"/>
      </w:pPr>
      <w:r>
        <w:rPr>
          <w:rFonts w:ascii="Times New Roman" w:hAnsi="Times New Roman" w:eastAsia="Times New Roman" w:cs="Times New Roman"/>
          <w:b w:val="0"/>
          <w:i w:val="0"/>
          <w:sz w:val="24"/>
        </w:rPr>
        <w:t>An unchanged immutable constant is not, by its name alone, a global-state defect. Identify a write and the reference it reaches. Likewise, two fresh arrays produced by a helper do not establish isolation of two mounted React trees. The private qualification plan retains that separate observation instead of inferring it from a hash or a normalisation test.</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shared mutable reference would couple the two owners?</w:t>
      </w:r>
    </w:p>
    <w:p>
      <w:pPr>
        <w:keepLines/>
        <w:jc w:val="both"/>
      </w:pPr>
      <w:r>
        <w:rPr>
          <w:rFonts w:ascii="Times New Roman" w:hAnsi="Times New Roman" w:eastAsia="Times New Roman" w:cs="Times New Roman"/>
          <w:b w:val="0"/>
          <w:i/>
          <w:sz w:val="24"/>
        </w:rPr>
        <w:t>Basis: CAN-13;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14. Worked example — provider isolation</w:t>
      </w:r>
    </w:p>
    <w:p>
      <w:pPr>
        <w:keepLines/>
        <w:jc w:val="both"/>
      </w:pPr>
      <w:r>
        <w:rPr>
          <w:rFonts w:ascii="Times New Roman" w:hAnsi="Times New Roman" w:eastAsia="Times New Roman" w:cs="Times New Roman"/>
          <w:b w:val="0"/>
          <w:i w:val="0"/>
          <w:sz w:val="24"/>
        </w:rPr>
        <w:t>EX-03 supplies CounterProvider twice, with Left tree and Right tree labels. Each provider calls useState and supplies its own increment function. The intended actual observation is that a left-side click changes the left count while the right count remains unchanged.</w:t>
      </w:r>
    </w:p>
    <w:p>
      <w:pPr>
        <w:keepLines/>
        <w:jc w:val="both"/>
      </w:pPr>
      <w:r>
        <w:rPr>
          <w:rFonts w:ascii="Times New Roman" w:hAnsi="Times New Roman" w:eastAsia="Times New Roman" w:cs="Times New Roman"/>
          <w:b w:val="0"/>
          <w:i w:val="0"/>
          <w:sz w:val="24"/>
        </w:rPr>
        <w:t>The offline companion uses two independent plain counter values to explain that invariant. It does not mount CounterProvider, execute useContext or count React renders. Keep the predicted pair, the actual observation when available and the model trace as separate records. A missing qualified runtime is NOT_EXECUTED, not an expected learner assertion failure.</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additional witness is needed beyond two independent JavaScript objects?</w:t>
      </w:r>
    </w:p>
    <w:p>
      <w:pPr>
        <w:keepLines/>
        <w:jc w:val="both"/>
      </w:pPr>
      <w:r>
        <w:rPr>
          <w:rFonts w:ascii="Times New Roman" w:hAnsi="Times New Roman" w:eastAsia="Times New Roman" w:cs="Times New Roman"/>
          <w:b w:val="0"/>
          <w:i/>
          <w:sz w:val="24"/>
        </w:rPr>
        <w:t>Basis: CAN-14;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15. Centralisation must solve a coordination problem</w:t>
      </w:r>
    </w:p>
    <w:p>
      <w:pPr>
        <w:keepLines/>
        <w:jc w:val="both"/>
      </w:pPr>
      <w:r>
        <w:rPr>
          <w:rFonts w:ascii="Times New Roman" w:hAnsi="Times New Roman" w:eastAsia="Times New Roman" w:cs="Times New Roman"/>
          <w:b w:val="0"/>
          <w:i w:val="0"/>
          <w:sz w:val="24"/>
        </w:rPr>
        <w:t>Consider a wider application-state boundary when real consumers and transitions require it: entities shared across routes, a longer lifetime, coordinated asynchronous work or inspectable events. Record which of these requirements is present rather than using a library name as the requirement itself.</w:t>
      </w:r>
    </w:p>
    <w:p>
      <w:pPr>
        <w:keepLines/>
        <w:jc w:val="both"/>
      </w:pPr>
      <w:r>
        <w:rPr>
          <w:rFonts w:ascii="Times New Roman" w:hAnsi="Times New Roman" w:eastAsia="Times New Roman" w:cs="Times New Roman"/>
          <w:b w:val="0"/>
          <w:i w:val="0"/>
          <w:sz w:val="24"/>
        </w:rPr>
        <w:t>P02 is optional advanced work because its notification domain illustrates these pressures. It is not the default solution for P01 and not a hidden marking condition. The required ADR may conclude that a smaller owner remains eligible. Explain the cost of broadening a boundary and what evidence would justify changing that decision later.</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requirement cannot the smaller owner satisfy?</w:t>
      </w:r>
    </w:p>
    <w:p>
      <w:pPr>
        <w:keepLines/>
        <w:jc w:val="both"/>
      </w:pPr>
      <w:r>
        <w:rPr>
          <w:rFonts w:ascii="Times New Roman" w:hAnsi="Times New Roman" w:eastAsia="Times New Roman" w:cs="Times New Roman"/>
          <w:b w:val="0"/>
          <w:i/>
          <w:sz w:val="24"/>
        </w:rPr>
        <w:t>Basis: CAN-15;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16. Application size is not a criterion</w:t>
      </w:r>
    </w:p>
    <w:p>
      <w:pPr>
        <w:keepLines/>
        <w:jc w:val="both"/>
      </w:pPr>
      <w:r>
        <w:rPr>
          <w:rFonts w:ascii="Times New Roman" w:hAnsi="Times New Roman" w:eastAsia="Times New Roman" w:cs="Times New Roman"/>
          <w:b w:val="0"/>
          <w:i w:val="0"/>
          <w:sz w:val="24"/>
        </w:rPr>
        <w:t>A large application can contain a small isolated draft, while a compact feature can have demanding cross-route coordination. Counts of components, CSS files or dependencies do not locate ownership. Evaluate each domain rather than promoting every value together.</w:t>
      </w:r>
    </w:p>
    <w:p>
      <w:pPr>
        <w:keepLines/>
        <w:jc w:val="both"/>
      </w:pPr>
      <w:r>
        <w:rPr>
          <w:rFonts w:ascii="Times New Roman" w:hAnsi="Times New Roman" w:eastAsia="Times New Roman" w:cs="Times New Roman"/>
          <w:b w:val="0"/>
          <w:i w:val="0"/>
          <w:sz w:val="24"/>
        </w:rPr>
        <w:t>A route identifier already owned by the URL should not acquire an independently synchronised store copy merely because Redux is available. Likewise a card’s disclosure need not live for the application lifetime. State the owner and lifetime separately for each value, then choose the smallest boundary that satisfies all of its actual consumers. This is a design method, not a universal ban on stores.</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Would this value need a different owner if the app had fewer files?</w:t>
      </w:r>
    </w:p>
    <w:p>
      <w:pPr>
        <w:keepLines/>
        <w:jc w:val="both"/>
      </w:pPr>
      <w:r>
        <w:rPr>
          <w:rFonts w:ascii="Times New Roman" w:hAnsi="Times New Roman" w:eastAsia="Times New Roman" w:cs="Times New Roman"/>
          <w:b w:val="0"/>
          <w:i/>
          <w:sz w:val="24"/>
        </w:rPr>
        <w:t>Basis: CAN-16;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17. Redux uses one directional flow</w:t>
      </w:r>
    </w:p>
    <w:p>
      <w:pPr>
        <w:keepLines/>
        <w:jc w:val="both"/>
      </w:pPr>
      <w:r>
        <w:rPr>
          <w:rFonts w:ascii="Times New Roman" w:hAnsi="Times New Roman" w:eastAsia="Times New Roman" w:cs="Times New Roman"/>
          <w:b w:val="0"/>
          <w:i w:val="0"/>
          <w:sz w:val="24"/>
        </w:rPr>
        <w:t>The course models a directional path: UI dispatches an event or thunk, reducers publish store state, selectors derive read views and subscribed UI renders. Keep the distinction between requesting work and publishing a confirmed result visible.</w:t>
      </w:r>
    </w:p>
    <w:p>
      <w:pPr>
        <w:keepLines/>
        <w:jc w:val="both"/>
      </w:pPr>
      <w:r>
        <w:rPr>
          <w:rFonts w:ascii="Times New Roman" w:hAnsi="Times New Roman" w:eastAsia="Times New Roman" w:cs="Times New Roman"/>
          <w:b w:val="0"/>
          <w:i w:val="0"/>
          <w:sz w:val="24"/>
        </w:rPr>
        <w:t>This flow does not make asynchronous work sequential by default. An older request can settle later, and reducers still need a policy for accepting its result. A diagram or reducer callback trace verifies neither middleware scheduling nor React Redux subscription behaviour. Use a named action sequence when discussing a race, rather than treating the final checkbox as a complete causal explanation.</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stage decides whether a result may still publish?</w:t>
      </w:r>
    </w:p>
    <w:p>
      <w:pPr>
        <w:keepLines/>
        <w:jc w:val="both"/>
      </w:pPr>
      <w:r>
        <w:rPr>
          <w:rFonts w:ascii="Times New Roman" w:hAnsi="Times New Roman" w:eastAsia="Times New Roman" w:cs="Times New Roman"/>
          <w:b w:val="0"/>
          <w:i/>
          <w:sz w:val="24"/>
        </w:rPr>
        <w:t>Basis: CAN-17;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18. Redux Toolkit is the course baseline for Redux</w:t>
      </w:r>
    </w:p>
    <w:p>
      <w:pPr>
        <w:keepLines/>
        <w:jc w:val="both"/>
      </w:pPr>
      <w:r>
        <w:rPr>
          <w:rFonts w:ascii="Times New Roman" w:hAnsi="Times New Roman" w:eastAsia="Times New Roman" w:cs="Times New Roman"/>
          <w:b w:val="0"/>
          <w:i w:val="0"/>
          <w:sz w:val="24"/>
        </w:rPr>
        <w:t>The canonical lecture selects configureStore, createSlice, createAsyncThunk and createEntityAdapter for its Redux examples. These APIs have different responsibilities: store construction, domain transitions, asynchronous lifecycle actions and entity operations. Dependency presence alone is not a reason to move a domain into Redux.</w:t>
      </w:r>
    </w:p>
    <w:p>
      <w:pPr>
        <w:keepLines/>
        <w:jc w:val="both"/>
      </w:pPr>
      <w:r>
        <w:rPr>
          <w:rFonts w:ascii="Times New Roman" w:hAnsi="Times New Roman" w:eastAsia="Times New Roman" w:cs="Times New Roman"/>
          <w:b w:val="0"/>
          <w:i w:val="0"/>
          <w:sz w:val="24"/>
        </w:rPr>
        <w:t>The example package.json and lockfile are copied exactly. This phase neither installs them nor certifies the availability of their pinned versions. Review API semantics using the separately listed documentation, but do not silently update the source when a documentation page describes a newer release. The optional seminar slice remains outside the complete public course solution.</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API belongs to which responsibility?</w:t>
      </w:r>
    </w:p>
    <w:p>
      <w:pPr>
        <w:keepLines/>
        <w:jc w:val="both"/>
      </w:pPr>
      <w:r>
        <w:rPr>
          <w:rFonts w:ascii="Times New Roman" w:hAnsi="Times New Roman" w:eastAsia="Times New Roman" w:cs="Times New Roman"/>
          <w:b w:val="0"/>
          <w:i/>
          <w:sz w:val="24"/>
        </w:rPr>
        <w:t>Basis: CAN-18;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19. Slice reducers own domain transitions</w:t>
      </w:r>
    </w:p>
    <w:p>
      <w:pPr>
        <w:keepLines/>
        <w:jc w:val="both"/>
      </w:pPr>
      <w:r>
        <w:rPr>
          <w:rFonts w:ascii="Times New Roman" w:hAnsi="Times New Roman" w:eastAsia="Times New Roman" w:cs="Times New Roman"/>
          <w:b w:val="0"/>
          <w:i w:val="0"/>
          <w:sz w:val="24"/>
        </w:rPr>
        <w:t>A slice owns domain transitions and the state needed to interpret them. Keep raw protocol paths and status-code interpretation in an adapter, and JSX and local interaction in presentation components. Named actions expose what happened without requiring the reducer to know every UI widget.</w:t>
      </w:r>
    </w:p>
    <w:p>
      <w:pPr>
        <w:keepLines/>
        <w:jc w:val="both"/>
      </w:pPr>
      <w:r>
        <w:rPr>
          <w:rFonts w:ascii="Times New Roman" w:hAnsi="Times New Roman" w:eastAsia="Times New Roman" w:cs="Times New Roman"/>
          <w:b w:val="0"/>
          <w:i w:val="0"/>
          <w:sz w:val="24"/>
        </w:rPr>
        <w:t>Immer-backed reducer syntax can look mutating while producing immutable results in the actual library. A plain-object substitute used by a local probe is not Immer and cannot establish that behaviour. Tests of captured callbacks are labelled accordingly. They can expose the acceptance policy for a payload, but cannot certify draft semantics, middleware or selector memoisation.</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Is this statement about the callback logic or the actual library runtime?</w:t>
      </w:r>
    </w:p>
    <w:p>
      <w:pPr>
        <w:keepLines/>
        <w:jc w:val="both"/>
      </w:pPr>
      <w:r>
        <w:rPr>
          <w:rFonts w:ascii="Times New Roman" w:hAnsi="Times New Roman" w:eastAsia="Times New Roman" w:cs="Times New Roman"/>
          <w:b w:val="0"/>
          <w:i/>
          <w:sz w:val="24"/>
        </w:rPr>
        <w:t>Basis: CAN-19;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20. Normalisation separates identity from views</w:t>
      </w:r>
    </w:p>
    <w:p>
      <w:pPr>
        <w:keepLines/>
        <w:jc w:val="both"/>
      </w:pPr>
      <w:r>
        <w:rPr>
          <w:rFonts w:ascii="Times New Roman" w:hAnsi="Times New Roman" w:eastAsia="Times New Roman" w:cs="Times New Roman"/>
          <w:b w:val="0"/>
          <w:i w:val="0"/>
          <w:sz w:val="24"/>
        </w:rPr>
        <w:t>An ids array and an entities lookup let several readers address one resource identity. An update by ID can then affect multiple derived views without separately updating several copied lists. Record the entity ID independently of any request ID used to order asynchronous work.</w:t>
      </w:r>
    </w:p>
    <w:p>
      <w:pPr>
        <w:keepLines/>
        <w:jc w:val="both"/>
      </w:pPr>
      <w:r>
        <w:rPr>
          <w:rFonts w:ascii="Times New Roman" w:hAnsi="Times New Roman" w:eastAsia="Times New Roman" w:cs="Times New Roman"/>
          <w:b w:val="0"/>
          <w:i w:val="0"/>
          <w:sz w:val="24"/>
        </w:rPr>
        <w:t xml:space="preserve">With a configured sortComparer, the adapter maintains order in ids through its operations. The store therefore does represent that ordered identity sequence; selectAll follows it. The unread count is a separate derivation from entity fields. Do not repeat the original README’s claim that storage is unrelated to display order in this configured example (N-05).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R3]</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array orders the entities returned by selectAll?</w:t>
      </w:r>
    </w:p>
    <w:p>
      <w:pPr>
        <w:keepLines/>
        <w:jc w:val="both"/>
      </w:pPr>
      <w:r>
        <w:rPr>
          <w:rFonts w:ascii="Times New Roman" w:hAnsi="Times New Roman" w:eastAsia="Times New Roman" w:cs="Times New Roman"/>
          <w:b w:val="0"/>
          <w:i/>
          <w:sz w:val="24"/>
        </w:rPr>
        <w:t>Basis: CAN-20;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21. Normalisation is not mandatory</w:t>
      </w:r>
    </w:p>
    <w:p>
      <w:pPr>
        <w:keepLines/>
        <w:jc w:val="both"/>
      </w:pPr>
      <w:r>
        <w:rPr>
          <w:rFonts w:ascii="Times New Roman" w:hAnsi="Times New Roman" w:eastAsia="Times New Roman" w:cs="Times New Roman"/>
          <w:b w:val="0"/>
          <w:i w:val="0"/>
          <w:sz w:val="24"/>
        </w:rPr>
        <w:t>A tiny array read in one place may be clearer than maintaining separate IDs and an entity map. Normalisation is justified by identity and coordination requirements, not by a rule that every collection must have a store shape.</w:t>
      </w:r>
    </w:p>
    <w:p>
      <w:pPr>
        <w:keepLines/>
        <w:jc w:val="both"/>
      </w:pPr>
      <w:r>
        <w:rPr>
          <w:rFonts w:ascii="Times New Roman" w:hAnsi="Times New Roman" w:eastAsia="Times New Roman" w:cs="Times New Roman"/>
          <w:b w:val="0"/>
          <w:i w:val="0"/>
          <w:sz w:val="24"/>
        </w:rPr>
        <w:t>Compare alternatives on the same behaviour. If one implementation omits updates or consumers, its shorter code does not make it a valid simpler candidate. Conversely, choosing an array for a small domain does not mean identity stops mattering. Stable IDs and well-defined updates remain useful even when the representation is not normalised.</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repeated coordination does the normalised form remove here?</w:t>
      </w:r>
    </w:p>
    <w:p>
      <w:pPr>
        <w:keepLines/>
        <w:jc w:val="both"/>
      </w:pPr>
      <w:r>
        <w:rPr>
          <w:rFonts w:ascii="Times New Roman" w:hAnsi="Times New Roman" w:eastAsia="Times New Roman" w:cs="Times New Roman"/>
          <w:b w:val="0"/>
          <w:i/>
          <w:sz w:val="24"/>
        </w:rPr>
        <w:t>Basis: CAN-21;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22. Selectors are the read boundary</w:t>
      </w:r>
    </w:p>
    <w:p>
      <w:pPr>
        <w:keepLines/>
        <w:jc w:val="both"/>
      </w:pPr>
      <w:r>
        <w:rPr>
          <w:rFonts w:ascii="Times New Roman" w:hAnsi="Times New Roman" w:eastAsia="Times New Roman" w:cs="Times New Roman"/>
          <w:b w:val="0"/>
          <w:i w:val="0"/>
          <w:sz w:val="24"/>
        </w:rPr>
        <w:t>A selector derives a view from authoritative store values: a count, filtered subset or entity for an ID. It should not mutate the state while reading or interpret raw HTTP responses. Presentation consumes the domain-shaped result.</w:t>
      </w:r>
    </w:p>
    <w:p>
      <w:pPr>
        <w:keepLines/>
        <w:jc w:val="both"/>
      </w:pPr>
      <w:r>
        <w:rPr>
          <w:rFonts w:ascii="Times New Roman" w:hAnsi="Times New Roman" w:eastAsia="Times New Roman" w:cs="Times New Roman"/>
          <w:b w:val="0"/>
          <w:i w:val="0"/>
          <w:sz w:val="24"/>
        </w:rPr>
        <w:t>Distinguish the generated selectAll that follows adapter-maintained ids from a selector that explicitly sorts a fresh projection. In EX-04 unread is derived with a filter over selected notifications; it is not stored as a second count to synchronise. Any memoisation or reference-stability claim needs its own evidence. A plain helper returning the right count cannot certify React Redux subscriptions.</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Where does the view’s order actually come from?</w:t>
      </w:r>
    </w:p>
    <w:p>
      <w:pPr>
        <w:keepLines/>
        <w:jc w:val="both"/>
      </w:pPr>
      <w:r>
        <w:rPr>
          <w:rFonts w:ascii="Times New Roman" w:hAnsi="Times New Roman" w:eastAsia="Times New Roman" w:cs="Times New Roman"/>
          <w:b w:val="0"/>
          <w:i/>
          <w:sz w:val="24"/>
        </w:rPr>
        <w:t>Basis: CAN-22;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23. Worked example — normalised state and selectors</w:t>
      </w:r>
    </w:p>
    <w:p>
      <w:pPr>
        <w:keepLines/>
        <w:jc w:val="both"/>
      </w:pPr>
      <w:r>
        <w:rPr>
          <w:rFonts w:ascii="Times New Roman" w:hAnsi="Times New Roman" w:eastAsia="Times New Roman" w:cs="Times New Roman"/>
          <w:b w:val="0"/>
          <w:i w:val="0"/>
          <w:sz w:val="24"/>
        </w:rPr>
        <w:t>EX-04 supplies n1 dated 2026-09-01 and n2 dated 2026-09-02. The descending date comparison puts n2 before n1 in ids. Both start unread, giving count 2. Marking n2 read leaves the ordering unchanged and derives count 1.</w:t>
      </w:r>
    </w:p>
    <w:p>
      <w:pPr>
        <w:keepLines/>
        <w:jc w:val="both"/>
      </w:pPr>
      <w:r>
        <w:rPr>
          <w:rFonts w:ascii="Times New Roman" w:hAnsi="Times New Roman" w:eastAsia="Times New Roman" w:cs="Times New Roman"/>
          <w:b w:val="0"/>
          <w:i w:val="0"/>
          <w:sz w:val="24"/>
        </w:rPr>
        <w:t>These are fixture-specific predictions. LAB-M07/M08 calculate the same small value relationships with plain JavaScript; they do not run createEntityAdapter or Immer. The exact JSX source retains the original spelling and configuration, while this handout uses British prose and the corrected description of ordering. An unfamiliar or missing ID is outside this particular button-path prediction (N-05).</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Does changing read require changing the date ordering?</w:t>
      </w:r>
    </w:p>
    <w:p>
      <w:pPr>
        <w:keepLines/>
        <w:jc w:val="both"/>
      </w:pPr>
      <w:r>
        <w:rPr>
          <w:rFonts w:ascii="Times New Roman" w:hAnsi="Times New Roman" w:eastAsia="Times New Roman" w:cs="Times New Roman"/>
          <w:b w:val="0"/>
          <w:i/>
          <w:sz w:val="24"/>
        </w:rPr>
        <w:t>Basis: CAN-23;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24. Memoise for evidence-based reasons</w:t>
      </w:r>
    </w:p>
    <w:p>
      <w:pPr>
        <w:keepLines/>
        <w:jc w:val="both"/>
      </w:pPr>
      <w:r>
        <w:rPr>
          <w:rFonts w:ascii="Times New Roman" w:hAnsi="Times New Roman" w:eastAsia="Times New Roman" w:cs="Times New Roman"/>
          <w:b w:val="0"/>
          <w:i w:val="0"/>
          <w:sz w:val="24"/>
        </w:rPr>
        <w:t>Memoisation can be useful when a derivation is expensive or a consumer requires stable references. It is not automatically required for every primitive count. First specify the workload, computation and observation that make the extra mechanism worthwhile.</w:t>
      </w:r>
    </w:p>
    <w:p>
      <w:pPr>
        <w:keepLines/>
        <w:jc w:val="both"/>
      </w:pPr>
      <w:r>
        <w:rPr>
          <w:rFonts w:ascii="Times New Roman" w:hAnsi="Times New Roman" w:eastAsia="Times New Roman" w:cs="Times New Roman"/>
          <w:b w:val="0"/>
          <w:i w:val="0"/>
          <w:sz w:val="24"/>
        </w:rPr>
        <w:t>A render count is not a performance measurement by itself, and comparing different behaviours invalidates the inference. For the ADR, state which performance claim is measured and which is merely a hypothesis. This C10 package provides no React profiling, no selector benchmark and no evidence that a larger state library is faster for the cohort’s applications.</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measurement would make this optimisation claim falsifiable?</w:t>
      </w:r>
    </w:p>
    <w:p>
      <w:pPr>
        <w:keepLines/>
        <w:jc w:val="both"/>
      </w:pPr>
      <w:r>
        <w:rPr>
          <w:rFonts w:ascii="Times New Roman" w:hAnsi="Times New Roman" w:eastAsia="Times New Roman" w:cs="Times New Roman"/>
          <w:b w:val="0"/>
          <w:i/>
          <w:sz w:val="24"/>
        </w:rPr>
        <w:t>Basis: CAN-24;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25. Async store state has phases</w:t>
      </w:r>
    </w:p>
    <w:p>
      <w:pPr>
        <w:keepLines/>
        <w:jc w:val="both"/>
      </w:pPr>
      <w:r>
        <w:rPr>
          <w:rFonts w:ascii="Times New Roman" w:hAnsi="Times New Roman" w:eastAsia="Times New Roman" w:cs="Times New Roman"/>
          <w:b w:val="0"/>
          <w:i w:val="0"/>
          <w:sz w:val="24"/>
        </w:rPr>
        <w:t>Represent idle, loading, succeeded and failed rather than conflating empty data with unfinished work. A retained data snapshot can coexist with a refresh failure. Per-entity mutation status may be needed when different items have separate pending work.</w:t>
      </w:r>
    </w:p>
    <w:p>
      <w:pPr>
        <w:keepLines/>
        <w:jc w:val="both"/>
      </w:pPr>
      <w:r>
        <w:rPr>
          <w:rFonts w:ascii="Times New Roman" w:hAnsi="Times New Roman" w:eastAsia="Times New Roman" w:cs="Times New Roman"/>
          <w:b w:val="0"/>
          <w:i w:val="0"/>
          <w:sz w:val="24"/>
        </w:rPr>
        <w:t>Do not conflate a successful list refresh with a confirmed mark-read. They can overlap and their settlements may describe different points in time. Write the action order and the relevant identity before interpreting state. The lecture examples illustrate a subset of these phases; a missing failure handler is a limitation of that example, not proof that no request can ever fail.</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Can data remain visible while a refresh status is failed?</w:t>
      </w:r>
    </w:p>
    <w:p>
      <w:pPr>
        <w:keepLines/>
        <w:jc w:val="both"/>
      </w:pPr>
      <w:r>
        <w:rPr>
          <w:rFonts w:ascii="Times New Roman" w:hAnsi="Times New Roman" w:eastAsia="Times New Roman" w:cs="Times New Roman"/>
          <w:b w:val="0"/>
          <w:i/>
          <w:sz w:val="24"/>
        </w:rPr>
        <w:t>Basis: CAN-25;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26. Inject the API adapter</w:t>
      </w:r>
    </w:p>
    <w:p>
      <w:pPr>
        <w:keepLines/>
        <w:jc w:val="both"/>
      </w:pPr>
      <w:r>
        <w:rPr>
          <w:rFonts w:ascii="Times New Roman" w:hAnsi="Times New Roman" w:eastAsia="Times New Roman" w:cs="Times New Roman"/>
          <w:b w:val="0"/>
          <w:i w:val="0"/>
          <w:sz w:val="24"/>
        </w:rPr>
        <w:t>An injected domain adapter lets transition logic request list or mark-read without hard-coding raw fetch paths inside a slice. The adapter is also a boundary for controlled test doubles. Say whether a result came from the supplied in-memory fixture, a stub or a real server.</w:t>
      </w:r>
    </w:p>
    <w:p>
      <w:pPr>
        <w:keepLines/>
        <w:jc w:val="both"/>
      </w:pPr>
      <w:r>
        <w:rPr>
          <w:rFonts w:ascii="Times New Roman" w:hAnsi="Times New Roman" w:eastAsia="Times New Roman" w:cs="Times New Roman"/>
          <w:b w:val="0"/>
          <w:i w:val="0"/>
          <w:sz w:val="24"/>
        </w:rPr>
        <w:t xml:space="preserve">A thunk lifecycle separates pending, fulfilled and rejected actions, but createAsyncThunk does not generate application-specific reducer policy. Nor does catching an error prove cancellation of work already performed elsewhere. Keep raw details out of user-facing messages while retaining sufficient private evidence to identify the failure class. This course installs and starts no service.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R4]</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does the adapter confirm, and what does it not confirm?</w:t>
      </w:r>
    </w:p>
    <w:p>
      <w:pPr>
        <w:keepLines/>
        <w:jc w:val="both"/>
      </w:pPr>
      <w:r>
        <w:rPr>
          <w:rFonts w:ascii="Times New Roman" w:hAnsi="Times New Roman" w:eastAsia="Times New Roman" w:cs="Times New Roman"/>
          <w:b w:val="0"/>
          <w:i/>
          <w:sz w:val="24"/>
        </w:rPr>
        <w:t>Basis: CAN-26;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27. Server confirmation remains authoritative</w:t>
      </w:r>
    </w:p>
    <w:p>
      <w:pPr>
        <w:keepLines/>
        <w:jc w:val="both"/>
      </w:pPr>
      <w:r>
        <w:rPr>
          <w:rFonts w:ascii="Times New Roman" w:hAnsi="Times New Roman" w:eastAsia="Times New Roman" w:cs="Times New Roman"/>
          <w:b w:val="0"/>
          <w:i w:val="0"/>
          <w:sz w:val="24"/>
        </w:rPr>
        <w:t>For a confirmed-only workflow, publish the returned entity after the adapter resolves, not at the button click. Optimistic changes would require an additional explicit rollback and conflict policy. That is outside the supplied optional P02 contract.</w:t>
      </w:r>
    </w:p>
    <w:p>
      <w:pPr>
        <w:keepLines/>
        <w:jc w:val="both"/>
      </w:pPr>
      <w:r>
        <w:rPr>
          <w:rFonts w:ascii="Times New Roman" w:hAnsi="Times New Roman" w:eastAsia="Times New Roman" w:cs="Times New Roman"/>
          <w:b w:val="0"/>
          <w:i w:val="0"/>
          <w:sz w:val="24"/>
        </w:rPr>
        <w:t>Even confirmed-only publication needs ordering. An older list snapshot can overwrite a later confirmed item when both are accepted without coordination. The C10 trace records that possible local sequence and its limits; it is not a repaired notification slice. A changed local read flag does not prove that server state itself has reverted. The private S10 successor is a separate production task.</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Was this snapshot requested before or after the confirmed mutation?</w:t>
      </w:r>
    </w:p>
    <w:p>
      <w:pPr>
        <w:keepLines/>
        <w:jc w:val="both"/>
      </w:pPr>
      <w:r>
        <w:rPr>
          <w:rFonts w:ascii="Times New Roman" w:hAnsi="Times New Roman" w:eastAsia="Times New Roman" w:cs="Times New Roman"/>
          <w:b w:val="0"/>
          <w:i/>
          <w:sz w:val="24"/>
        </w:rPr>
        <w:t>Basis: CAN-27;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28. Request IDs delimit publication</w:t>
      </w:r>
    </w:p>
    <w:p>
      <w:pPr>
        <w:keepLines/>
        <w:jc w:val="both"/>
      </w:pPr>
      <w:r>
        <w:rPr>
          <w:rFonts w:ascii="Times New Roman" w:hAnsi="Times New Roman" w:eastAsia="Times New Roman" w:cs="Times New Roman"/>
          <w:b w:val="0"/>
          <w:i w:val="0"/>
          <w:sz w:val="24"/>
        </w:rPr>
        <w:t>Recording the current request on pending and checking it on settlement can reject older results within that request family. The rule must be applied to all relevant terminal branches. The chosen identity is not an entity ID and does not make requests synchronous.</w:t>
      </w:r>
    </w:p>
    <w:p>
      <w:pPr>
        <w:keepLines/>
        <w:jc w:val="both"/>
      </w:pPr>
      <w:r>
        <w:rPr>
          <w:rFonts w:ascii="Times New Roman" w:hAnsi="Times New Roman" w:eastAsia="Times New Roman" w:cs="Times New Roman"/>
          <w:b w:val="0"/>
          <w:i w:val="0"/>
          <w:sz w:val="24"/>
        </w:rPr>
        <w:t xml:space="preserve">Refresh-versus-refresh, refresh-versus-mark and reset-versus-in-flight are different policies. Protecting the first does not automatically protect the others. LAB-M09 to M13 use named finite traces, not the optional assessed slice. The broader same-ID mark counterexample involves programmatic concurrency; the ordinary UI disables its loading button, so that trigger must be stated.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R4]</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action families share the ordering policy?</w:t>
      </w:r>
    </w:p>
    <w:p>
      <w:pPr>
        <w:keepLines/>
        <w:jc w:val="both"/>
      </w:pPr>
      <w:r>
        <w:rPr>
          <w:rFonts w:ascii="Times New Roman" w:hAnsi="Times New Roman" w:eastAsia="Times New Roman" w:cs="Times New Roman"/>
          <w:b w:val="0"/>
          <w:i/>
          <w:sz w:val="24"/>
        </w:rPr>
        <w:t>Basis: CAN-28;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29. Worked example — latest request guard</w:t>
      </w:r>
    </w:p>
    <w:p>
      <w:pPr>
        <w:keepLines/>
        <w:jc w:val="both"/>
      </w:pPr>
      <w:r>
        <w:rPr>
          <w:rFonts w:ascii="Times New Roman" w:hAnsi="Times New Roman" w:eastAsia="Times New Roman" w:cs="Times New Roman"/>
          <w:b w:val="0"/>
          <w:i w:val="0"/>
          <w:sz w:val="24"/>
        </w:rPr>
        <w:t>EX-05 supplies a local timer-based thunk. Pending records the latest request ID; fulfilled checks that identity before publishing the returned string array. Start a slow request, then a fast one: accepting the fast result and ignoring the late slow result illustrates its actual success-path contract.</w:t>
      </w:r>
    </w:p>
    <w:p>
      <w:pPr>
        <w:keepLines/>
        <w:jc w:val="both"/>
      </w:pPr>
      <w:r>
        <w:rPr>
          <w:rFonts w:ascii="Times New Roman" w:hAnsi="Times New Roman" w:eastAsia="Times New Roman" w:cs="Times New Roman"/>
          <w:b w:val="0"/>
          <w:i w:val="0"/>
          <w:sz w:val="24"/>
        </w:rPr>
        <w:t>There is no rejected handler in the exact configuration. A separately injected rejection leaves loading unchanged in the captured-case model. That is a bounded counterexample, not an error observed from the normally resolving timer or a server. A small derived search-lifecycle helper shows a failure branch, clearly separate from EX-05 and from the full P02 solution (N-06).</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terminal action is absent from the original configuration?</w:t>
      </w:r>
    </w:p>
    <w:p>
      <w:pPr>
        <w:keepLines/>
        <w:jc w:val="both"/>
      </w:pPr>
      <w:r>
        <w:rPr>
          <w:rFonts w:ascii="Times New Roman" w:hAnsi="Times New Roman" w:eastAsia="Times New Roman" w:cs="Times New Roman"/>
          <w:b w:val="0"/>
          <w:i/>
          <w:sz w:val="24"/>
        </w:rPr>
        <w:t>Basis: CAN-29;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30. Separate state, effect adapter and presentation</w:t>
      </w:r>
    </w:p>
    <w:p>
      <w:pPr>
        <w:keepLines/>
        <w:jc w:val="both"/>
      </w:pPr>
      <w:r>
        <w:rPr>
          <w:rFonts w:ascii="Times New Roman" w:hAnsi="Times New Roman" w:eastAsia="Times New Roman" w:cs="Times New Roman"/>
          <w:b w:val="0"/>
          <w:i w:val="0"/>
          <w:sz w:val="24"/>
        </w:rPr>
        <w:t>State logic owns invariants, transitions and read views. The adapter owns the external operation’s protocol. Presentation owns accessible controls, local drafts and how results are shown. Keeping these boundaries explicit makes it possible to investigate a failure without rewriting every layer.</w:t>
      </w:r>
    </w:p>
    <w:p>
      <w:pPr>
        <w:keepLines/>
        <w:jc w:val="both"/>
      </w:pPr>
      <w:r>
        <w:rPr>
          <w:rFonts w:ascii="Times New Roman" w:hAnsi="Times New Roman" w:eastAsia="Times New Roman" w:cs="Times New Roman"/>
          <w:b w:val="0"/>
          <w:i w:val="0"/>
          <w:sz w:val="24"/>
        </w:rPr>
        <w:t>An unavailable runtime, parser error, missing dependency or failed reporter is not the same as a named learner assertion failure. Record the exact source, command and error class. A model is useful for isolating one policy, but must not be renamed an application trace or uploaded as a student’s genuine observation. Preserve pending evidence as pending.</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layer owns the failure and which evidence class tested it?</w:t>
      </w:r>
    </w:p>
    <w:p>
      <w:pPr>
        <w:keepLines/>
        <w:jc w:val="both"/>
      </w:pPr>
      <w:r>
        <w:rPr>
          <w:rFonts w:ascii="Times New Roman" w:hAnsi="Times New Roman" w:eastAsia="Times New Roman" w:cs="Times New Roman"/>
          <w:b w:val="0"/>
          <w:i/>
          <w:sz w:val="24"/>
        </w:rPr>
        <w:t>Basis: CAN-30;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31. Compare only behaviourally equivalent candidates</w:t>
      </w:r>
    </w:p>
    <w:p>
      <w:pPr>
        <w:keepLines/>
        <w:jc w:val="both"/>
      </w:pPr>
      <w:r>
        <w:rPr>
          <w:rFonts w:ascii="Times New Roman" w:hAnsi="Times New Roman" w:eastAsia="Times New Roman" w:cs="Times New Roman"/>
          <w:b w:val="0"/>
          <w:i w:val="0"/>
          <w:sz w:val="24"/>
        </w:rPr>
        <w:t>Before comparing costs, define the behaviour and capabilities that make a candidate eligible. The supplied P03 has two preference implementations and static descriptors. Its flags and signature are not fresh proof that the student characterised every required interaction.</w:t>
      </w:r>
    </w:p>
    <w:p>
      <w:pPr>
        <w:keepLines/>
        <w:jc w:val="both"/>
      </w:pPr>
      <w:r>
        <w:rPr>
          <w:rFonts w:ascii="Times New Roman" w:hAnsi="Times New Roman" w:eastAsia="Times New Roman" w:cs="Times New Roman"/>
          <w:b w:val="0"/>
          <w:i w:val="0"/>
          <w:sz w:val="24"/>
        </w:rPr>
        <w:t>The mandatory ADR may use a manually reasoned evidence table. It must label actual observations, source-supported limits and supplied assumptions separately. A capability missing from these two candidates is not universally impossible with the same library family. Do not add a fictional Redux candidate or complete the assessed comparator merely to generate a confident-looking recommendation (N-08).</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observation supports this candidate’s eligibility?</w:t>
      </w:r>
    </w:p>
    <w:p>
      <w:pPr>
        <w:keepLines/>
        <w:jc w:val="both"/>
      </w:pPr>
      <w:r>
        <w:rPr>
          <w:rFonts w:ascii="Times New Roman" w:hAnsi="Times New Roman" w:eastAsia="Times New Roman" w:cs="Times New Roman"/>
          <w:b w:val="0"/>
          <w:i/>
          <w:sz w:val="24"/>
        </w:rPr>
        <w:t>Basis: CAN-31;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32. The simplest eligible candidate may be absent</w:t>
      </w:r>
    </w:p>
    <w:p>
      <w:pPr>
        <w:keepLines/>
        <w:jc w:val="both"/>
      </w:pPr>
      <w:r>
        <w:rPr>
          <w:rFonts w:ascii="Times New Roman" w:hAnsi="Times New Roman" w:eastAsia="Times New Roman" w:cs="Times New Roman"/>
          <w:b w:val="0"/>
          <w:i w:val="0"/>
          <w:sz w:val="24"/>
        </w:rPr>
        <w:t>If neither supplied candidate meets required cross-route, asynchronous coordination and event-history capabilities, the admissible answer is no eligible candidate. A low cost cannot compensate for a missing required capability. A future design proposal remains a proposal until implemented and characterised.</w:t>
      </w:r>
    </w:p>
    <w:p>
      <w:pPr>
        <w:keepLines/>
        <w:jc w:val="both"/>
      </w:pPr>
      <w:r>
        <w:rPr>
          <w:rFonts w:ascii="Times New Roman" w:hAnsi="Times New Roman" w:eastAsia="Times New Roman" w:cs="Times New Roman"/>
          <w:b w:val="0"/>
          <w:i w:val="0"/>
          <w:sz w:val="24"/>
        </w:rPr>
        <w:t>Likewise, retain a genuine tie when no explicit tie-break criterion is supplied. A lexical tie-break can make the output deterministic, but it does not make one tied cost higher. State that equality and the rule. The C10 worksheet teaches the decision method without publishing the complete comparator algorithm or a finished capstone ADR (N-09).</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Is no eligible candidate a valid result under these requirements?</w:t>
      </w:r>
    </w:p>
    <w:p>
      <w:pPr>
        <w:keepLines/>
        <w:jc w:val="both"/>
      </w:pPr>
      <w:r>
        <w:rPr>
          <w:rFonts w:ascii="Times New Roman" w:hAnsi="Times New Roman" w:eastAsia="Times New Roman" w:cs="Times New Roman"/>
          <w:b w:val="0"/>
          <w:i/>
          <w:sz w:val="24"/>
        </w:rPr>
        <w:t>Basis: CAN-32;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33. Metrics need representative evidence</w:t>
      </w:r>
    </w:p>
    <w:p>
      <w:pPr>
        <w:keepLines/>
        <w:jc w:val="both"/>
      </w:pPr>
      <w:r>
        <w:rPr>
          <w:rFonts w:ascii="Times New Roman" w:hAnsi="Times New Roman" w:eastAsia="Times New Roman" w:cs="Times New Roman"/>
          <w:b w:val="0"/>
          <w:i w:val="0"/>
          <w:sz w:val="24"/>
        </w:rPr>
        <w:t>The supplied illustrative costs are 1 + p and 2 + 0.15p. At p=0 they are 1 and 2; at p=3 they are 4 and 2.45. The intersection is p=20/17, approximately 1.17647. These are algebraic consequences of stipulated coefficients, not an empirical threshold for maintainability.</w:t>
      </w:r>
    </w:p>
    <w:p>
      <w:pPr>
        <w:keepLines/>
        <w:jc w:val="both"/>
      </w:pPr>
      <w:r>
        <w:rPr>
          <w:rFonts w:ascii="Times New Roman" w:hAnsi="Times New Roman" w:eastAsia="Times New Roman" w:cs="Times New Roman"/>
          <w:b w:val="0"/>
          <w:i w:val="0"/>
          <w:sz w:val="24"/>
        </w:rPr>
        <w:t>Change one assumption and show what changes. Keep capability gates distinct from cost arithmetic. The public helper calculates only this fixed pair of costs; it does not validate parity, rank arbitrary candidates or award an architecture score. Real timing, render or team-cost claims need separate representative evidence (N-08).</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coefficient is measured and which is an assumption?</w:t>
      </w:r>
    </w:p>
    <w:p>
      <w:pPr>
        <w:keepLines/>
        <w:jc w:val="both"/>
      </w:pPr>
      <w:r>
        <w:rPr>
          <w:rFonts w:ascii="Times New Roman" w:hAnsi="Times New Roman" w:eastAsia="Times New Roman" w:cs="Times New Roman"/>
          <w:b w:val="0"/>
          <w:i/>
          <w:sz w:val="24"/>
        </w:rPr>
        <w:t>Basis: CAN-33; examples and corrections are distinguished in SOURCE_NOTES.md.</w:t>
      </w:r>
    </w:p>
    <w:p>
      <w:pPr>
        <w:pStyle w:val="Heading2"/>
        <w:keepLines/>
        <w:ind w:firstLine="0"/>
        <w:jc w:val="left"/>
      </w:pPr>
      <w:r>
        <w:rPr>
          <w:rFonts w:ascii="Times New Roman" w:hAnsi="Times New Roman" w:eastAsia="Times New Roman" w:cs="Times New Roman"/>
          <w:b w:val="0"/>
          <w:i w:val="0"/>
          <w:sz w:val="24"/>
        </w:rPr>
        <w:t>34. Record reasons and rejected alternatives</w:t>
      </w:r>
    </w:p>
    <w:p>
      <w:pPr>
        <w:keepLines/>
        <w:jc w:val="both"/>
      </w:pPr>
      <w:r>
        <w:rPr>
          <w:rFonts w:ascii="Times New Roman" w:hAnsi="Times New Roman" w:eastAsia="Times New Roman" w:cs="Times New Roman"/>
          <w:b w:val="0"/>
          <w:i w:val="0"/>
          <w:sz w:val="24"/>
        </w:rPr>
        <w:t>A useful ADR names the problem, owners, consumers, lifetime, authority, required capabilities and evidence limits. Explain why the selected candidate is eligible, which alternatives were rejected and what observation would trigger reconsideration. A generic lowest-cost sentence alone does not identify the satisfied requirement.</w:t>
      </w:r>
    </w:p>
    <w:p>
      <w:pPr>
        <w:keepLines/>
        <w:jc w:val="both"/>
      </w:pPr>
      <w:r>
        <w:rPr>
          <w:rFonts w:ascii="Times New Roman" w:hAnsi="Times New Roman" w:eastAsia="Times New Roman" w:cs="Times New Roman"/>
          <w:b w:val="0"/>
          <w:i w:val="0"/>
          <w:sz w:val="24"/>
        </w:rPr>
        <w:t>The exact P03 comparator can misdescribe a tied alternative as more costly after an explicit tie-break. The derived explanation corrects that wording without changing the canonical comparator. Malformed flags, absent signatures and non-finite costs also need an explicit data contract before any comparison. Neither a JSON flag nor a form selector authenticates a real test (N-09/N-10).</w:t>
      </w:r>
    </w:p>
    <w:p>
      <w:pPr>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Would your reason still be true if the alternative had equal cost?</w:t>
      </w:r>
    </w:p>
    <w:p>
      <w:pPr>
        <w:keepLines/>
        <w:jc w:val="both"/>
      </w:pPr>
      <w:r>
        <w:rPr>
          <w:rFonts w:ascii="Times New Roman" w:hAnsi="Times New Roman" w:eastAsia="Times New Roman" w:cs="Times New Roman"/>
          <w:b w:val="0"/>
          <w:i/>
          <w:sz w:val="24"/>
        </w:rPr>
        <w:t>Basis: CAN-34; examples and corrections are distinguished in SOURCE_NOTES.md.</w:t>
      </w:r>
    </w:p>
    <w:p>
      <w:pPr>
        <w:pStyle w:val="Heading1"/>
        <w:keepLines/>
        <w:pageBreakBefore/>
        <w:ind w:firstLine="0"/>
        <w:jc w:val="left"/>
      </w:pPr>
      <w:r>
        <w:rPr>
          <w:rFonts w:ascii="Times New Roman" w:hAnsi="Times New Roman" w:eastAsia="Times New Roman" w:cs="Times New Roman"/>
          <w:b w:val="0"/>
          <w:i w:val="0"/>
          <w:sz w:val="24"/>
        </w:rPr>
        <w:t>A derived four-row ownership inventory</w:t>
      </w:r>
    </w:p>
    <w:p>
      <w:pPr>
        <w:keepLines/>
        <w:jc w:val="both"/>
      </w:pPr>
      <w:r>
        <w:rPr>
          <w:rFonts w:ascii="Times New Roman" w:hAnsi="Times New Roman" w:eastAsia="Times New Roman" w:cs="Times New Roman"/>
          <w:b w:val="0"/>
          <w:i w:val="0"/>
          <w:sz w:val="24"/>
        </w:rPr>
        <w:t>This is a teaching worksheet, not the table claimed by EX-01’s README. Use it as a starting hypothesis and record the actual component and lifetime in your project.</w:t>
      </w:r>
    </w:p>
    <w:tbl>
      <w:tblPr>
        <w:tblStyle w:val="TableGrid"/>
        <w:tblW w:type="auto" w:w="0"/>
        <w:tblLayout w:type="autofit"/>
        <w:tblLook w:firstColumn="1" w:firstRow="1" w:lastColumn="0" w:lastRow="0" w:noHBand="0" w:noVBand="1" w:val="04A0"/>
      </w:tblPr>
      <w:tblGrid>
        <w:gridCol w:w="2401"/>
        <w:gridCol w:w="2401"/>
        <w:gridCol w:w="2401"/>
        <w:gridCol w:w="2401"/>
      </w:tblGrid>
      <w:tr>
        <w:trPr>
          <w:cantSplit/>
          <w:tblHeader/>
        </w:trPr>
        <w:tc>
          <w:tcPr>
            <w:tcW w:type="dxa" w:w="2401"/>
          </w:tcPr>
          <w:p>
            <w:pPr>
              <w:spacing w:after="80" w:line="252" w:lineRule="auto"/>
              <w:ind w:firstLine="0"/>
            </w:pPr>
            <w:r>
              <w:rPr>
                <w:rFonts w:ascii="Times New Roman" w:hAnsi="Times New Roman" w:eastAsia="Times New Roman" w:cs="Times New Roman"/>
                <w:b/>
                <w:i w:val="0"/>
                <w:sz w:val="24"/>
              </w:rPr>
              <w:t>Value</w:t>
            </w:r>
          </w:p>
        </w:tc>
        <w:tc>
          <w:tcPr>
            <w:tcW w:type="dxa" w:w="2401"/>
          </w:tcPr>
          <w:p>
            <w:pPr>
              <w:spacing w:after="80" w:line="252" w:lineRule="auto"/>
              <w:ind w:firstLine="0"/>
            </w:pPr>
            <w:r>
              <w:rPr>
                <w:rFonts w:ascii="Times New Roman" w:hAnsi="Times New Roman" w:eastAsia="Times New Roman" w:cs="Times New Roman"/>
                <w:b/>
                <w:i w:val="0"/>
                <w:sz w:val="24"/>
              </w:rPr>
              <w:t>Owner or authority</w:t>
            </w:r>
          </w:p>
        </w:tc>
        <w:tc>
          <w:tcPr>
            <w:tcW w:type="dxa" w:w="2401"/>
          </w:tcPr>
          <w:p>
            <w:pPr>
              <w:spacing w:after="80" w:line="252" w:lineRule="auto"/>
              <w:ind w:firstLine="0"/>
            </w:pPr>
            <w:r>
              <w:rPr>
                <w:rFonts w:ascii="Times New Roman" w:hAnsi="Times New Roman" w:eastAsia="Times New Roman" w:cs="Times New Roman"/>
                <w:b/>
                <w:i w:val="0"/>
                <w:sz w:val="24"/>
              </w:rPr>
              <w:t>Read view</w:t>
            </w:r>
          </w:p>
        </w:tc>
        <w:tc>
          <w:tcPr>
            <w:tcW w:type="dxa" w:w="2401"/>
          </w:tcPr>
          <w:p>
            <w:pPr>
              <w:spacing w:after="80" w:line="252" w:lineRule="auto"/>
              <w:ind w:firstLine="0"/>
            </w:pPr>
            <w:r>
              <w:rPr>
                <w:rFonts w:ascii="Times New Roman" w:hAnsi="Times New Roman" w:eastAsia="Times New Roman" w:cs="Times New Roman"/>
                <w:b/>
                <w:i w:val="0"/>
                <w:sz w:val="24"/>
              </w:rPr>
              <w:t>Witness still needed</w:t>
            </w:r>
          </w:p>
        </w:tc>
      </w:tr>
      <w:tr>
        <w:trPr>
          <w:cantSplit/>
        </w:trPr>
        <w:tc>
          <w:tcPr>
            <w:tcW w:type="dxa" w:w="2401"/>
          </w:tcPr>
          <w:p>
            <w:pPr>
              <w:spacing w:after="80" w:line="252" w:lineRule="auto"/>
              <w:ind w:firstLine="0"/>
            </w:pPr>
            <w:r>
              <w:rPr>
                <w:rFonts w:ascii="Times New Roman" w:hAnsi="Times New Roman" w:eastAsia="Times New Roman" w:cs="Times New Roman"/>
                <w:b w:val="0"/>
                <w:i w:val="0"/>
                <w:sz w:val="24"/>
              </w:rPr>
              <w:t>Search draft</w:t>
            </w:r>
          </w:p>
        </w:tc>
        <w:tc>
          <w:tcPr>
            <w:tcW w:type="dxa" w:w="2401"/>
          </w:tcPr>
          <w:p>
            <w:pPr>
              <w:spacing w:after="80" w:line="252" w:lineRule="auto"/>
              <w:ind w:firstLine="0"/>
            </w:pPr>
            <w:r>
              <w:rPr>
                <w:rFonts w:ascii="Times New Roman" w:hAnsi="Times New Roman" w:eastAsia="Times New Roman" w:cs="Times New Roman"/>
                <w:b w:val="0"/>
                <w:i w:val="0"/>
                <w:sz w:val="24"/>
              </w:rPr>
              <w:t>Nearest coordinating component</w:t>
            </w:r>
          </w:p>
        </w:tc>
        <w:tc>
          <w:tcPr>
            <w:tcW w:type="dxa" w:w="2401"/>
          </w:tcPr>
          <w:p>
            <w:pPr>
              <w:spacing w:after="80" w:line="252" w:lineRule="auto"/>
              <w:ind w:firstLine="0"/>
            </w:pPr>
            <w:r>
              <w:rPr>
                <w:rFonts w:ascii="Times New Roman" w:hAnsi="Times New Roman" w:eastAsia="Times New Roman" w:cs="Times New Roman"/>
                <w:b w:val="0"/>
                <w:i w:val="0"/>
                <w:sz w:val="24"/>
              </w:rPr>
              <w:t>Input and filtered list</w:t>
            </w:r>
          </w:p>
        </w:tc>
        <w:tc>
          <w:tcPr>
            <w:tcW w:type="dxa" w:w="2401"/>
          </w:tcPr>
          <w:p>
            <w:pPr>
              <w:spacing w:after="80" w:line="252" w:lineRule="auto"/>
              <w:ind w:firstLine="0"/>
            </w:pPr>
            <w:r>
              <w:rPr>
                <w:rFonts w:ascii="Times New Roman" w:hAnsi="Times New Roman" w:eastAsia="Times New Roman" w:cs="Times New Roman"/>
                <w:b w:val="0"/>
                <w:i w:val="0"/>
                <w:sz w:val="24"/>
              </w:rPr>
              <w:t>Exact component path and observed lifetime</w:t>
            </w:r>
          </w:p>
        </w:tc>
      </w:tr>
      <w:tr>
        <w:trPr>
          <w:cantSplit/>
        </w:trPr>
        <w:tc>
          <w:tcPr>
            <w:tcW w:type="dxa" w:w="2401"/>
          </w:tcPr>
          <w:p>
            <w:pPr>
              <w:spacing w:after="80" w:line="252" w:lineRule="auto"/>
              <w:ind w:firstLine="0"/>
            </w:pPr>
            <w:r>
              <w:rPr>
                <w:rFonts w:ascii="Times New Roman" w:hAnsi="Times New Roman" w:eastAsia="Times New Roman" w:cs="Times New Roman"/>
                <w:b w:val="0"/>
                <w:i w:val="0"/>
                <w:sz w:val="24"/>
              </w:rPr>
              <w:t>Visible count</w:t>
            </w:r>
          </w:p>
        </w:tc>
        <w:tc>
          <w:tcPr>
            <w:tcW w:type="dxa" w:w="2401"/>
          </w:tcPr>
          <w:p>
            <w:pPr>
              <w:spacing w:after="80" w:line="252" w:lineRule="auto"/>
              <w:ind w:firstLine="0"/>
            </w:pPr>
            <w:r>
              <w:rPr>
                <w:rFonts w:ascii="Times New Roman" w:hAnsi="Times New Roman" w:eastAsia="Times New Roman" w:cs="Times New Roman"/>
                <w:b w:val="0"/>
                <w:i w:val="0"/>
                <w:sz w:val="24"/>
              </w:rPr>
              <w:t>No independent state owner</w:t>
            </w:r>
          </w:p>
        </w:tc>
        <w:tc>
          <w:tcPr>
            <w:tcW w:type="dxa" w:w="2401"/>
          </w:tcPr>
          <w:p>
            <w:pPr>
              <w:spacing w:after="80" w:line="252" w:lineRule="auto"/>
              <w:ind w:firstLine="0"/>
            </w:pPr>
            <w:r>
              <w:rPr>
                <w:rFonts w:ascii="Times New Roman" w:hAnsi="Times New Roman" w:eastAsia="Times New Roman" w:cs="Times New Roman"/>
                <w:b w:val="0"/>
                <w:i w:val="0"/>
                <w:sz w:val="24"/>
              </w:rPr>
              <w:t>Derived from visible items</w:t>
            </w:r>
          </w:p>
        </w:tc>
        <w:tc>
          <w:tcPr>
            <w:tcW w:type="dxa" w:w="2401"/>
          </w:tcPr>
          <w:p>
            <w:pPr>
              <w:spacing w:after="80" w:line="252" w:lineRule="auto"/>
              <w:ind w:firstLine="0"/>
            </w:pPr>
            <w:r>
              <w:rPr>
                <w:rFonts w:ascii="Times New Roman" w:hAnsi="Times New Roman" w:eastAsia="Times New Roman" w:cs="Times New Roman"/>
                <w:b w:val="0"/>
                <w:i w:val="0"/>
                <w:sz w:val="24"/>
              </w:rPr>
              <w:t>Update input, then verify derivation</w:t>
            </w:r>
          </w:p>
        </w:tc>
      </w:tr>
      <w:tr>
        <w:trPr>
          <w:cantSplit/>
        </w:trPr>
        <w:tc>
          <w:tcPr>
            <w:tcW w:type="dxa" w:w="2401"/>
          </w:tcPr>
          <w:p>
            <w:pPr>
              <w:spacing w:after="80" w:line="252" w:lineRule="auto"/>
              <w:ind w:firstLine="0"/>
            </w:pPr>
            <w:r>
              <w:rPr>
                <w:rFonts w:ascii="Times New Roman" w:hAnsi="Times New Roman" w:eastAsia="Times New Roman" w:cs="Times New Roman"/>
                <w:b w:val="0"/>
                <w:i w:val="0"/>
                <w:sz w:val="24"/>
              </w:rPr>
              <w:t>Shared selection</w:t>
            </w:r>
          </w:p>
        </w:tc>
        <w:tc>
          <w:tcPr>
            <w:tcW w:type="dxa" w:w="2401"/>
          </w:tcPr>
          <w:p>
            <w:pPr>
              <w:spacing w:after="80" w:line="252" w:lineRule="auto"/>
              <w:ind w:firstLine="0"/>
            </w:pPr>
            <w:r>
              <w:rPr>
                <w:rFonts w:ascii="Times New Roman" w:hAnsi="Times New Roman" w:eastAsia="Times New Roman" w:cs="Times New Roman"/>
                <w:b w:val="0"/>
                <w:i w:val="0"/>
                <w:sz w:val="24"/>
              </w:rPr>
              <w:t>Nearest eligible common owner</w:t>
            </w:r>
          </w:p>
        </w:tc>
        <w:tc>
          <w:tcPr>
            <w:tcW w:type="dxa" w:w="2401"/>
          </w:tcPr>
          <w:p>
            <w:pPr>
              <w:spacing w:after="80" w:line="252" w:lineRule="auto"/>
              <w:ind w:firstLine="0"/>
            </w:pPr>
            <w:r>
              <w:rPr>
                <w:rFonts w:ascii="Times New Roman" w:hAnsi="Times New Roman" w:eastAsia="Times New Roman" w:cs="Times New Roman"/>
                <w:b w:val="0"/>
                <w:i w:val="0"/>
                <w:sz w:val="24"/>
              </w:rPr>
              <w:t>Sibling consumers</w:t>
            </w:r>
          </w:p>
        </w:tc>
        <w:tc>
          <w:tcPr>
            <w:tcW w:type="dxa" w:w="2401"/>
          </w:tcPr>
          <w:p>
            <w:pPr>
              <w:spacing w:after="80" w:line="252" w:lineRule="auto"/>
              <w:ind w:firstLine="0"/>
            </w:pPr>
            <w:r>
              <w:rPr>
                <w:rFonts w:ascii="Times New Roman" w:hAnsi="Times New Roman" w:eastAsia="Times New Roman" w:cs="Times New Roman"/>
                <w:b w:val="0"/>
                <w:i w:val="0"/>
                <w:sz w:val="24"/>
              </w:rPr>
              <w:t>One change reflected by each relevant consumer</w:t>
            </w:r>
          </w:p>
        </w:tc>
      </w:tr>
      <w:tr>
        <w:trPr>
          <w:cantSplit/>
        </w:trPr>
        <w:tc>
          <w:tcPr>
            <w:tcW w:type="dxa" w:w="2401"/>
          </w:tcPr>
          <w:p>
            <w:pPr>
              <w:spacing w:after="80" w:line="252" w:lineRule="auto"/>
              <w:ind w:firstLine="0"/>
            </w:pPr>
            <w:r>
              <w:rPr>
                <w:rFonts w:ascii="Times New Roman" w:hAnsi="Times New Roman" w:eastAsia="Times New Roman" w:cs="Times New Roman"/>
                <w:b w:val="0"/>
                <w:i w:val="0"/>
                <w:sz w:val="24"/>
              </w:rPr>
              <w:t>Confirmed resource</w:t>
            </w:r>
          </w:p>
        </w:tc>
        <w:tc>
          <w:tcPr>
            <w:tcW w:type="dxa" w:w="2401"/>
          </w:tcPr>
          <w:p>
            <w:pPr>
              <w:spacing w:after="80" w:line="252" w:lineRule="auto"/>
              <w:ind w:firstLine="0"/>
            </w:pPr>
            <w:r>
              <w:rPr>
                <w:rFonts w:ascii="Times New Roman" w:hAnsi="Times New Roman" w:eastAsia="Times New Roman" w:cs="Times New Roman"/>
                <w:b w:val="0"/>
                <w:i w:val="0"/>
                <w:sz w:val="24"/>
              </w:rPr>
              <w:t>Server or explicitly supplied adapter</w:t>
            </w:r>
          </w:p>
        </w:tc>
        <w:tc>
          <w:tcPr>
            <w:tcW w:type="dxa" w:w="2401"/>
          </w:tcPr>
          <w:p>
            <w:pPr>
              <w:spacing w:after="80" w:line="252" w:lineRule="auto"/>
              <w:ind w:firstLine="0"/>
            </w:pPr>
            <w:r>
              <w:rPr>
                <w:rFonts w:ascii="Times New Roman" w:hAnsi="Times New Roman" w:eastAsia="Times New Roman" w:cs="Times New Roman"/>
                <w:b w:val="0"/>
                <w:i w:val="0"/>
                <w:sz w:val="24"/>
              </w:rPr>
              <w:t>Client representation</w:t>
            </w:r>
          </w:p>
        </w:tc>
        <w:tc>
          <w:tcPr>
            <w:tcW w:type="dxa" w:w="2401"/>
          </w:tcPr>
          <w:p>
            <w:pPr>
              <w:spacing w:after="80" w:line="252" w:lineRule="auto"/>
              <w:ind w:firstLine="0"/>
            </w:pPr>
            <w:r>
              <w:rPr>
                <w:rFonts w:ascii="Times New Roman" w:hAnsi="Times New Roman" w:eastAsia="Times New Roman" w:cs="Times New Roman"/>
                <w:b w:val="0"/>
                <w:i w:val="0"/>
                <w:sz w:val="24"/>
              </w:rPr>
              <w:t>Actual confirmation, source identity and limits</w:t>
            </w:r>
          </w:p>
        </w:tc>
      </w:tr>
    </w:tbl>
    <w:p>
      <w:pPr>
        <w:pStyle w:val="Heading1"/>
        <w:keepLines/>
        <w:ind w:firstLine="0"/>
        <w:jc w:val="left"/>
      </w:pPr>
      <w:r>
        <w:rPr>
          <w:rFonts w:ascii="Times New Roman" w:hAnsi="Times New Roman" w:eastAsia="Times New Roman" w:cs="Times New Roman"/>
          <w:b w:val="0"/>
          <w:i w:val="0"/>
          <w:sz w:val="24"/>
        </w:rPr>
        <w:t>An assumption-sensitive calculation, not a comparator solution</w:t>
      </w:r>
    </w:p>
    <w:p>
      <w:pPr>
        <w:keepLines/>
        <w:jc w:val="both"/>
      </w:pPr>
      <w:r>
        <w:rPr>
          <w:rFonts w:ascii="Times New Roman" w:hAnsi="Times New Roman" w:eastAsia="Times New Roman" w:cs="Times New Roman"/>
          <w:b w:val="0"/>
          <w:i w:val="0"/>
          <w:sz w:val="24"/>
        </w:rPr>
        <w:t>For the fixed illustrative pair, cA = 1 + p and cB = 2 + 0.15p. Solving cA = cB gives 0.85p = 1, hence p = 20/17. A supplied pressure is an assumption, not an instrument reading. At the crossing, a reason claiming a strictly higher alternative cost would be false. Requiring unsupported capabilities can exclude both candidates regardless of this arithmetic.</w:t>
      </w:r>
    </w:p>
    <w:p>
      <w:pPr>
        <w:keepLines/>
        <w:jc w:val="both"/>
      </w:pPr>
      <w:r>
        <w:rPr>
          <w:rFonts w:ascii="Times New Roman" w:hAnsi="Times New Roman" w:eastAsia="Times New Roman" w:cs="Times New Roman"/>
          <w:b w:val="0"/>
          <w:i w:val="0"/>
          <w:sz w:val="24"/>
        </w:rPr>
        <w:t>The offline lab exposes fixed named traces and this arithmetic only. It does not accept a capstone dataset, authenticate observations or implement the assessed general comparator. Imported text and synthetic flags cannot create evidence of execution.</w:t>
      </w:r>
    </w:p>
    <w:p>
      <w:pPr>
        <w:pStyle w:val="Heading1"/>
        <w:keepLines/>
        <w:ind w:firstLine="0"/>
        <w:jc w:val="left"/>
      </w:pPr>
      <w:r>
        <w:rPr>
          <w:rFonts w:ascii="Times New Roman" w:hAnsi="Times New Roman" w:eastAsia="Times New Roman" w:cs="Times New Roman"/>
          <w:b w:val="0"/>
          <w:i w:val="0"/>
          <w:sz w:val="24"/>
        </w:rPr>
        <w:t>Transfer and honest completion</w:t>
      </w:r>
    </w:p>
    <w:p>
      <w:pPr>
        <w:keepLines/>
        <w:jc w:val="both"/>
      </w:pPr>
      <w:r>
        <w:rPr>
          <w:rFonts w:ascii="Times New Roman" w:hAnsi="Times New Roman" w:eastAsia="Times New Roman" w:cs="Times New Roman"/>
          <w:b w:val="0"/>
          <w:i w:val="0"/>
          <w:sz w:val="24"/>
        </w:rPr>
        <w:t>For P01, first inventory track and savedIds against the local search and disclosure controls. The permitted future edit is student/src/state/workshop-state.jsx. Keep the full central contract; do not move controls into prohibited support files to repair a prose discrepancy. A normalisation check is not mounted provider isolation.</w:t>
      </w:r>
    </w:p>
    <w:p>
      <w:pPr>
        <w:keepLines/>
        <w:jc w:val="both"/>
      </w:pPr>
      <w:r>
        <w:rPr>
          <w:rFonts w:ascii="Times New Roman" w:hAnsi="Times New Roman" w:eastAsia="Times New Roman" w:cs="Times New Roman"/>
          <w:b w:val="0"/>
          <w:i w:val="0"/>
          <w:sz w:val="24"/>
        </w:rPr>
        <w:t>For the required ADR, identify one actual capstone state-placement decision and its evidence. Distinguish capabilities of the candidates you inspected from universal claims about library families. Include a sensitivity check and a legitimate tie or no-eligible-candidate case when appropriate. Full P02 and full comparator implementation are not hidden S10 requirements.</w:t>
      </w:r>
    </w:p>
    <w:p>
      <w:pPr>
        <w:keepLines/>
        <w:jc w:val="both"/>
      </w:pPr>
      <w:r>
        <w:rPr>
          <w:rFonts w:ascii="Times New Roman" w:hAnsi="Times New Roman" w:eastAsia="Times New Roman" w:cs="Times New Roman"/>
          <w:b w:val="0"/>
          <w:i w:val="0"/>
          <w:sz w:val="24"/>
        </w:rPr>
        <w:t>The minute-60 stop ends the meeting’s content. It does not declare P01, the ADR or a real Gemini exchange complete. Retain unfinished work until the teacher-set deadline. C10 has no separate Assignment; S10 will bring its own evidence form and one-PDF submission route in the next production phase.</w:t>
      </w:r>
    </w:p>
    <w:p>
      <w:pPr>
        <w:pStyle w:val="Heading1"/>
        <w:keepLines/>
        <w:ind w:firstLine="0"/>
        <w:jc w:val="left"/>
      </w:pPr>
      <w:r>
        <w:rPr>
          <w:rFonts w:ascii="Times New Roman" w:hAnsi="Times New Roman" w:eastAsia="Times New Roman" w:cs="Times New Roman"/>
          <w:b w:val="0"/>
          <w:i w:val="0"/>
          <w:sz w:val="24"/>
        </w:rPr>
        <w:t>Evidence ladder</w:t>
      </w:r>
    </w:p>
    <w:p>
      <w:pPr>
        <w:keepLines/>
        <w:jc w:val="both"/>
      </w:pPr>
      <w:r>
        <w:rPr>
          <w:rFonts w:ascii="Times New Roman" w:hAnsi="Times New Roman" w:eastAsia="Times New Roman" w:cs="Times New Roman"/>
          <w:b w:val="0"/>
          <w:i w:val="0"/>
          <w:sz w:val="24"/>
        </w:rPr>
        <w:t>Source reading, pure JavaScript, captured callbacks, DOM stand-ins, actual React/Redux Toolkit, a real browser and native Word/platform checks are different classes. A SHA-256, a build log and an observed UI transition answer different questions. Retain the exact source, input, assertion, output and limit for every claim. This package’s qualification is deferred; R3B-6 remains suspended.</w:t>
      </w:r>
    </w:p>
    <w:p>
      <w:pPr>
        <w:pStyle w:val="Title"/>
        <w:keepLines/>
        <w:ind w:firstLine="0"/>
        <w:jc w:val="left"/>
      </w:pPr>
      <w:r>
        <w:rPr>
          <w:rFonts w:ascii="Times New Roman" w:hAnsi="Times New Roman" w:eastAsia="Times New Roman" w:cs="Times New Roman"/>
          <w:b w:val="0"/>
          <w:i w:val="0"/>
          <w:sz w:val="24"/>
        </w:rPr>
        <w:t>C10 — Sources and evidence rights</w:t>
      </w:r>
    </w:p>
    <w:p>
      <w:pPr>
        <w:pStyle w:val="Heading1"/>
        <w:keepLines/>
        <w:ind w:firstLine="0"/>
        <w:jc w:val="left"/>
      </w:pPr>
      <w:r>
        <w:rPr>
          <w:rFonts w:ascii="Times New Roman" w:hAnsi="Times New Roman" w:eastAsia="Times New Roman" w:cs="Times New Roman"/>
          <w:b w:val="0"/>
          <w:i w:val="0"/>
          <w:sz w:val="24"/>
        </w:rPr>
        <w:t>Primary course basis</w:t>
      </w:r>
    </w:p>
    <w:p>
      <w:pPr>
        <w:keepLines/>
        <w:jc w:val="both"/>
      </w:pPr>
      <w:r>
        <w:rPr>
          <w:rFonts w:ascii="Times New Roman" w:hAnsi="Times New Roman" w:eastAsia="Times New Roman" w:cs="Times New Roman"/>
          <w:b w:val="0"/>
          <w:i w:val="0"/>
          <w:sz w:val="24"/>
        </w:rPr>
        <w:t>The primary material is the 34 numbered topics of the Unit 10 lecture, its five source examples and the active 14-week curriculum. CAN-xx refers to an original topic; EX-xx to a directory under canonical/; LAB-Mxx to a distinct teaching model. CANONICAL_SOURCES.json records every exact public copy. The source tree identity is 5bfb519fbb6aeb1855d372a747724b742c528c1fee06c1102b06402f8cf40587.</w:t>
      </w:r>
    </w:p>
    <w:p>
      <w:pPr>
        <w:keepLines/>
        <w:jc w:val="both"/>
      </w:pPr>
      <w:r>
        <w:rPr>
          <w:rFonts w:ascii="Times New Roman" w:hAnsi="Times New Roman" w:eastAsia="Times New Roman" w:cs="Times New Roman"/>
          <w:b w:val="0"/>
          <w:i w:val="0"/>
          <w:sz w:val="24"/>
        </w:rPr>
        <w:t>The derived architecture changes the historical 95-minute plan to 60 minutes without erasing source substance. Source titles and code keep their original wording; new prose uses British English. SOURCE_NOTES.md distinguishes corrections from the exact files. Full evaluated project solutions, original lecture and GIFT keys are private.</w:t>
      </w:r>
    </w:p>
    <w:p>
      <w:pPr>
        <w:pStyle w:val="Heading1"/>
        <w:keepLines/>
        <w:ind w:firstLine="0"/>
        <w:jc w:val="left"/>
      </w:pPr>
      <w:r>
        <w:rPr>
          <w:rFonts w:ascii="Times New Roman" w:hAnsi="Times New Roman" w:eastAsia="Times New Roman" w:cs="Times New Roman"/>
          <w:b w:val="0"/>
          <w:i w:val="0"/>
          <w:sz w:val="24"/>
        </w:rPr>
        <w:t>Primary documentation consulted</w:t>
      </w:r>
    </w:p>
    <w:p>
      <w:pPr>
        <w:keepLines/>
        <w:jc w:val="both"/>
      </w:pPr>
      <w:r>
        <w:rPr>
          <w:rFonts w:ascii="Times New Roman" w:hAnsi="Times New Roman" w:eastAsia="Times New Roman" w:cs="Times New Roman"/>
          <w:b w:val="0"/>
          <w:i w:val="0"/>
          <w:sz w:val="24"/>
        </w:rPr>
        <w:t>Consulted 30 September 2026 for the limited interpretations below. The React pages presented themselves as v19.3; this does not update or qualify the source pins. The Toolkit URLs redirected to redux.js.org/toolkit. No package was acquired. Documentation pages have no DOI; none has been invented.</w:t>
      </w:r>
    </w:p>
    <w:p>
      <w:pPr>
        <w:keepLines/>
        <w:ind w:firstLine="0"/>
      </w:pPr>
      <w:r>
        <w:rPr>
          <w:rFonts w:ascii="Times New Roman" w:hAnsi="Times New Roman" w:eastAsia="Times New Roman" w:cs="Times New Roman"/>
          <w:b/>
          <w:i w:val="0"/>
          <w:sz w:val="24"/>
        </w:rPr>
        <w:t>R1</w:t>
      </w:r>
      <w:r>
        <w:t xml:space="preserve"> — </w:t>
      </w:r>
      <w:r>
        <w:rPr>
          <w:rFonts w:ascii="Times New Roman" w:hAnsi="Times New Roman" w:eastAsia="Times New Roman" w:cs="Times New Roman"/>
          <w:b w:val="0"/>
          <w:i w:val="0"/>
          <w:sz w:val="24"/>
        </w:rPr>
        <w:t>React contributors. (n.d.). useReducer.</w:t>
      </w:r>
      <w:r>
        <w:rPr>
          <w:rFonts w:ascii="Times New Roman" w:hAnsi="Times New Roman" w:eastAsia="Times New Roman" w:cs="Times New Roman"/>
          <w:sz w:val="20"/>
        </w:rPr>
        <w:t xml:space="preserve"> (https://react.dev/reference/react/useReducer)</w:t>
      </w:r>
      <w:r>
        <w:t xml:space="preserve">. Role and limit: </w:t>
      </w:r>
      <w:r>
        <w:rPr>
          <w:rFonts w:ascii="Times New Roman" w:hAnsi="Times New Roman" w:eastAsia="Times New Roman" w:cs="Times New Roman"/>
          <w:b w:val="0"/>
          <w:i w:val="0"/>
          <w:sz w:val="24"/>
        </w:rPr>
        <w:t>Pure reducer/initialiser and stable dispatch identity; documentation, not a runtime or StrictMode test.</w:t>
      </w:r>
    </w:p>
    <w:p>
      <w:pPr>
        <w:keepLines/>
        <w:ind w:firstLine="0"/>
      </w:pPr>
      <w:r>
        <w:rPr>
          <w:rFonts w:ascii="Times New Roman" w:hAnsi="Times New Roman" w:eastAsia="Times New Roman" w:cs="Times New Roman"/>
          <w:b/>
          <w:i w:val="0"/>
          <w:sz w:val="24"/>
        </w:rPr>
        <w:t>R2</w:t>
      </w:r>
      <w:r>
        <w:t xml:space="preserve"> — </w:t>
      </w:r>
      <w:r>
        <w:rPr>
          <w:rFonts w:ascii="Times New Roman" w:hAnsi="Times New Roman" w:eastAsia="Times New Roman" w:cs="Times New Roman"/>
          <w:b w:val="0"/>
          <w:i w:val="0"/>
          <w:sz w:val="24"/>
        </w:rPr>
        <w:t>React contributors. (n.d.). useContext.</w:t>
      </w:r>
      <w:r>
        <w:rPr>
          <w:rFonts w:ascii="Times New Roman" w:hAnsi="Times New Roman" w:eastAsia="Times New Roman" w:cs="Times New Roman"/>
          <w:sz w:val="20"/>
        </w:rPr>
        <w:t xml:space="preserve"> (https://react.dev/reference/react/useContext)</w:t>
      </w:r>
      <w:r>
        <w:t xml:space="preserve">. Role and limit: </w:t>
      </w:r>
      <w:r>
        <w:rPr>
          <w:rFonts w:ascii="Times New Roman" w:hAnsi="Times New Roman" w:eastAsia="Times New Roman" w:cs="Times New Roman"/>
          <w:b w:val="0"/>
          <w:i w:val="0"/>
          <w:sz w:val="24"/>
        </w:rPr>
        <w:t>Subscriptions to the relevant provider value; no measured render-count or performance claim.</w:t>
      </w:r>
    </w:p>
    <w:p>
      <w:pPr>
        <w:keepLines/>
        <w:ind w:firstLine="0"/>
      </w:pPr>
      <w:r>
        <w:rPr>
          <w:rFonts w:ascii="Times New Roman" w:hAnsi="Times New Roman" w:eastAsia="Times New Roman" w:cs="Times New Roman"/>
          <w:b/>
          <w:i w:val="0"/>
          <w:sz w:val="24"/>
        </w:rPr>
        <w:t>R3</w:t>
      </w:r>
      <w:r>
        <w:t xml:space="preserve"> — </w:t>
      </w:r>
      <w:r>
        <w:rPr>
          <w:rFonts w:ascii="Times New Roman" w:hAnsi="Times New Roman" w:eastAsia="Times New Roman" w:cs="Times New Roman"/>
          <w:b w:val="0"/>
          <w:i w:val="0"/>
          <w:sz w:val="24"/>
        </w:rPr>
        <w:t>Redux maintainers. (n.d.). createEntityAdapter.</w:t>
      </w:r>
      <w:r>
        <w:rPr>
          <w:rFonts w:ascii="Times New Roman" w:hAnsi="Times New Roman" w:eastAsia="Times New Roman" w:cs="Times New Roman"/>
          <w:sz w:val="20"/>
        </w:rPr>
        <w:t xml:space="preserve"> (https://redux.js.org/toolkit/api/createEntityAdapter)</w:t>
      </w:r>
      <w:r>
        <w:t xml:space="preserve">. Role and limit: </w:t>
      </w:r>
      <w:r>
        <w:rPr>
          <w:rFonts w:ascii="Times New Roman" w:hAnsi="Times New Roman" w:eastAsia="Times New Roman" w:cs="Times New Roman"/>
          <w:b w:val="0"/>
          <w:i w:val="0"/>
          <w:sz w:val="24"/>
        </w:rPr>
        <w:t>sortComparer maintains sorted ids through adapter operations; selectAll follows ids. No Toolkit/Immer execution.</w:t>
      </w:r>
    </w:p>
    <w:p>
      <w:pPr>
        <w:keepLines/>
        <w:ind w:firstLine="0"/>
      </w:pPr>
      <w:r>
        <w:rPr>
          <w:rFonts w:ascii="Times New Roman" w:hAnsi="Times New Roman" w:eastAsia="Times New Roman" w:cs="Times New Roman"/>
          <w:b/>
          <w:i w:val="0"/>
          <w:sz w:val="24"/>
        </w:rPr>
        <w:t>R4</w:t>
      </w:r>
      <w:r>
        <w:t xml:space="preserve"> — </w:t>
      </w:r>
      <w:r>
        <w:rPr>
          <w:rFonts w:ascii="Times New Roman" w:hAnsi="Times New Roman" w:eastAsia="Times New Roman" w:cs="Times New Roman"/>
          <w:b w:val="0"/>
          <w:i w:val="0"/>
          <w:sz w:val="24"/>
        </w:rPr>
        <w:t>Redux maintainers. (n.d.). createAsyncThunk.</w:t>
      </w:r>
      <w:r>
        <w:rPr>
          <w:rFonts w:ascii="Times New Roman" w:hAnsi="Times New Roman" w:eastAsia="Times New Roman" w:cs="Times New Roman"/>
          <w:sz w:val="20"/>
        </w:rPr>
        <w:t xml:space="preserve"> (https://redux.js.org/toolkit/api/createAsyncThunk)</w:t>
      </w:r>
      <w:r>
        <w:t xml:space="preserve">. Role and limit: </w:t>
      </w:r>
      <w:r>
        <w:rPr>
          <w:rFonts w:ascii="Times New Roman" w:hAnsi="Times New Roman" w:eastAsia="Times New Roman" w:cs="Times New Roman"/>
          <w:b w:val="0"/>
          <w:i w:val="0"/>
          <w:sz w:val="24"/>
        </w:rPr>
        <w:t>Lifecycle metadata and application-owned reducers; does not imply global request ordering.</w:t>
      </w:r>
    </w:p>
    <w:p>
      <w:pPr>
        <w:pStyle w:val="Heading1"/>
        <w:keepLines/>
        <w:ind w:firstLine="0"/>
        <w:jc w:val="left"/>
      </w:pPr>
      <w:r>
        <w:rPr>
          <w:rFonts w:ascii="Times New Roman" w:hAnsi="Times New Roman" w:eastAsia="Times New Roman" w:cs="Times New Roman"/>
          <w:b w:val="0"/>
          <w:i w:val="0"/>
          <w:sz w:val="24"/>
        </w:rPr>
        <w:t>Further and next reading</w:t>
      </w:r>
    </w:p>
    <w:p>
      <w:pPr>
        <w:keepLines/>
        <w:jc w:val="both"/>
      </w:pPr>
      <w:r>
        <w:rPr>
          <w:rFonts w:ascii="Times New Roman" w:hAnsi="Times New Roman" w:eastAsia="Times New Roman" w:cs="Times New Roman"/>
          <w:b w:val="0"/>
          <w:i w:val="0"/>
          <w:sz w:val="24"/>
        </w:rPr>
        <w:t>The source recommends Redux’s normalising-state and deriving-data readings for deeper understanding. They are linked as inherited reading, not newly executed validation. The exact next-reading list is canonical/reading-list-next.md, for Lecture 11. This C10 phase does not produce or run the security unit.</w:t>
      </w:r>
    </w:p>
    <w:sectPr w:rsidR="00FC693F" w:rsidRPr="0006063C" w:rsidSect="00034616">
      <w:headerReference w:type="default" r:id="rId9"/>
      <w:footerReference w:type="default" r:id="rId10"/>
      <w:pgSz w:w="11909" w:h="16834"/>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Times New Roman" w:hAnsi="Times New Roman" w:eastAsia="Times New Roman" w:cs="Times New Roman"/>
        <w:sz w:val="18"/>
      </w:rPr>
      <w:t xml:space="preserve">C10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rPr>
        <w:rFonts w:ascii="Times New Roman" w:hAnsi="Times New Roman" w:eastAsia="Times New Roman" w:cs="Times New Roman"/>
        <w:sz w:val="18"/>
      </w:rPr>
      <w:t>WEB TECHNOLOGIES 2026  |  C10  |  WIP/PREVIEW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ind w:firstLine="0"/>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C10_HANDOUT</dc:title>
  <dc:subject>C10 local teaching package</dc:subject>
  <dc:creator>TEHNOLOGII WEB 2026</dc:creator>
  <cp:keywords/>
  <dc:description/>
  <cp:lastModifiedBy/>
  <cp:revision>1</cp:revision>
  <dcterms:created xsi:type="dcterms:W3CDTF">2013-12-23T23:15:00Z</dcterms:created>
  <dcterms:modified xsi:type="dcterms:W3CDTF">2013-12-23T23:15:00Z</dcterms:modified>
  <cp:category/>
</cp:coreProperties>
</file>