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C10 — Preparation and transfer</w:t>
      </w:r>
    </w:p>
    <w:p>
      <w:pPr>
        <w:pStyle w:val="Heading1"/>
        <w:keepLines/>
        <w:ind w:firstLine="0"/>
        <w:jc w:val="left"/>
      </w:pPr>
      <w:r>
        <w:rPr>
          <w:rFonts w:ascii="Times New Roman" w:hAnsi="Times New Roman" w:eastAsia="Times New Roman" w:cs="Times New Roman"/>
          <w:b w:val="0"/>
          <w:i w:val="0"/>
          <w:sz w:val="24"/>
        </w:rPr>
        <w:t>Before the 60-minute meeting</w:t>
      </w:r>
    </w:p>
    <w:p>
      <w:pPr>
        <w:keepLines/>
        <w:jc w:val="both"/>
      </w:pPr>
      <w:r>
        <w:rPr>
          <w:rFonts w:ascii="Times New Roman" w:hAnsi="Times New Roman" w:eastAsia="Times New Roman" w:cs="Times New Roman"/>
          <w:b w:val="0"/>
          <w:i w:val="0"/>
          <w:sz w:val="24"/>
        </w:rPr>
        <w:t>Use a fresh extracted public package and open index.html. Keep the files together. The offline reading route and finite models require no installation. The canonical Vite directories are supplied for source inspection and later qualified execution, not five setup exercises to perform during class.</w:t>
      </w:r>
    </w:p>
    <w:p>
      <w:pPr>
        <w:keepLines/>
        <w:jc w:val="both"/>
      </w:pPr>
      <w:r>
        <w:rPr>
          <w:rFonts w:ascii="Times New Roman" w:hAnsi="Times New Roman" w:eastAsia="Times New Roman" w:cs="Times New Roman"/>
          <w:b w:val="0"/>
          <w:i w:val="0"/>
          <w:sz w:val="24"/>
        </w:rPr>
        <w:t>Recover U09’s distinction between URL, draft, confirmed resource and document delivery. Add owner, consumers, lifetime and derivation to a state inventory. Select one value from your own capstone and write the smallest plausible owner before naming a library. Record assumptions explicitly.</w:t>
      </w:r>
    </w:p>
    <w:p>
      <w:pPr>
        <w:pStyle w:val="Heading1"/>
        <w:keepLines/>
        <w:ind w:firstLine="0"/>
        <w:jc w:val="left"/>
      </w:pPr>
      <w:r>
        <w:rPr>
          <w:rFonts w:ascii="Times New Roman" w:hAnsi="Times New Roman" w:eastAsia="Times New Roman" w:cs="Times New Roman"/>
          <w:b w:val="0"/>
          <w:i w:val="0"/>
          <w:sz w:val="24"/>
        </w:rPr>
        <w:t>Three predictions to bring</w:t>
      </w:r>
    </w:p>
    <w:p>
      <w:pPr>
        <w:keepLines/>
        <w:jc w:val="both"/>
      </w:pPr>
      <w:r>
        <w:rPr>
          <w:rFonts w:ascii="Times New Roman" w:hAnsi="Times New Roman" w:eastAsia="Times New Roman" w:cs="Times New Roman"/>
          <w:b w:val="0"/>
          <w:i w:val="0"/>
          <w:sz w:val="24"/>
        </w:rPr>
        <w:t>For EX-01, predict the visible list and count for filter 'state', then 'zzz'. Name the actual common owner. The README’s four-row table is not part of the JSX supplied.</w:t>
      </w:r>
    </w:p>
    <w:p>
      <w:pPr>
        <w:keepLines/>
        <w:jc w:val="both"/>
      </w:pPr>
      <w:r>
        <w:rPr>
          <w:rFonts w:ascii="Times New Roman" w:hAnsi="Times New Roman" w:eastAsia="Times New Roman" w:cs="Times New Roman"/>
          <w:b w:val="0"/>
          <w:i w:val="0"/>
          <w:sz w:val="24"/>
        </w:rPr>
        <w:t>For EX-02, predict toggle then increment from enabled:false, seats:1. Record which input fields must be unchanged. State what a plain reducer trace can establish and what would require a mounted React observation.</w:t>
      </w:r>
    </w:p>
    <w:p>
      <w:pPr>
        <w:keepLines/>
        <w:jc w:val="both"/>
      </w:pPr>
      <w:r>
        <w:rPr>
          <w:rFonts w:ascii="Times New Roman" w:hAnsi="Times New Roman" w:eastAsia="Times New Roman" w:cs="Times New Roman"/>
          <w:b w:val="0"/>
          <w:i w:val="0"/>
          <w:sz w:val="24"/>
        </w:rPr>
        <w:t>For EX-05, predict slow pending, fast pending, fast fulfilled and slow fulfilled. Then ask about a rejected terminal action. The exact source has no rejected handler; an injected failure is not the normally resolving timer and is not a server failure.</w:t>
      </w:r>
    </w:p>
    <w:p>
      <w:pPr>
        <w:pStyle w:val="Heading1"/>
        <w:keepLines/>
        <w:ind w:firstLine="0"/>
        <w:jc w:val="left"/>
      </w:pPr>
      <w:r>
        <w:rPr>
          <w:rFonts w:ascii="Times New Roman" w:hAnsi="Times New Roman" w:eastAsia="Times New Roman" w:cs="Times New Roman"/>
          <w:b w:val="0"/>
          <w:i w:val="0"/>
          <w:sz w:val="24"/>
        </w:rPr>
        <w:t>During the meeting</w:t>
      </w:r>
    </w:p>
    <w:p>
      <w:pPr>
        <w:keepLines/>
        <w:jc w:val="both"/>
      </w:pPr>
      <w:r>
        <w:rPr>
          <w:rFonts w:ascii="Times New Roman" w:hAnsi="Times New Roman" w:eastAsia="Times New Roman" w:cs="Times New Roman"/>
          <w:b w:val="0"/>
          <w:i w:val="0"/>
          <w:sz w:val="24"/>
        </w:rPr>
        <w:t>Use prediction → bounded observation → explanation → limitation. All eight blocks end at minute 60. Write down the demonstration identity: exact React source, local teaching model or actual run. Do not copy an offline trace into an evidence field as a personal application observation.</w:t>
      </w:r>
    </w:p>
    <w:p>
      <w:pPr>
        <w:keepLines/>
        <w:jc w:val="both"/>
      </w:pPr>
      <w:r>
        <w:rPr>
          <w:rFonts w:ascii="Times New Roman" w:hAnsi="Times New Roman" w:eastAsia="Times New Roman" w:cs="Times New Roman"/>
          <w:b w:val="0"/>
          <w:i w:val="0"/>
          <w:sz w:val="24"/>
        </w:rPr>
        <w:t>The three retrieval checks concern ownership, normalised read views and architecture eligibility. Answer first, then compare the explanation. They are embedded in the content blocks rather than added after the stop. The unreserved work remains transfer, not a hidden extension into the other 30 minutes.</w:t>
      </w:r>
    </w:p>
    <w:p>
      <w:pPr>
        <w:pStyle w:val="Heading1"/>
        <w:keepLines/>
        <w:ind w:firstLine="0"/>
        <w:jc w:val="left"/>
      </w:pPr>
      <w:r>
        <w:rPr>
          <w:rFonts w:ascii="Times New Roman" w:hAnsi="Times New Roman" w:eastAsia="Times New Roman" w:cs="Times New Roman"/>
          <w:b w:val="0"/>
          <w:i w:val="0"/>
          <w:sz w:val="24"/>
        </w:rPr>
        <w:t>Bounded Gemini critique</w:t>
      </w:r>
    </w:p>
    <w:p>
      <w:pPr>
        <w:keepLines/>
        <w:jc w:val="both"/>
      </w:pPr>
      <w:r>
        <w:rPr>
          <w:rFonts w:ascii="Times New Roman" w:hAnsi="Times New Roman" w:eastAsia="Times New Roman" w:cs="Times New Roman"/>
          <w:b w:val="0"/>
          <w:i w:val="0"/>
          <w:sz w:val="24"/>
        </w:rPr>
        <w:t>Use one sanitised claim and only the source or trace excerpt needed to examine it. Do not ask for the complete provider, notification slice or comparator. A suitable prompt is:</w:t>
      </w:r>
    </w:p>
    <w:p>
      <w:pPr>
        <w:keepLines/>
        <w:ind w:left="360" w:firstLine="0"/>
        <w:jc w:val="both"/>
      </w:pPr>
      <w:r>
        <w:rPr>
          <w:rFonts w:ascii="Times New Roman" w:hAnsi="Times New Roman" w:eastAsia="Times New Roman" w:cs="Times New Roman"/>
          <w:b w:val="0"/>
          <w:i w:val="0"/>
          <w:sz w:val="24"/>
        </w:rPr>
        <w:t xml:space="preserve">I am reviewing one state-placement or transition claim. Do not implement my assessed project. Claim: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one claim]. Evidence: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minimal sanitised source or trace]. Identify one assumption, one counterexample and one independent check. Separate local, shared, derived and server-authoritative values. I will verify your response.</w:t>
      </w:r>
    </w:p>
    <w:p>
      <w:pPr>
        <w:keepLines/>
        <w:jc w:val="both"/>
      </w:pPr>
      <w:r>
        <w:rPr>
          <w:rFonts w:ascii="Times New Roman" w:hAnsi="Times New Roman" w:eastAsia="Times New Roman" w:cs="Times New Roman"/>
          <w:b w:val="0"/>
          <w:i w:val="0"/>
          <w:sz w:val="24"/>
        </w:rPr>
        <w:t>Preserve the relevant actual prompt and answer extract, not the whole account history. Check the claim with a source contract, an independent test or a real trace. Record ACCEPTED, REJECTED, PARTIALLY ACCEPTED or UNKNOWN, a correction and a limitation. A synthetic practice claim is not a Gemini response. A missing actual exchange remains pending, not fabricated.</w:t>
      </w:r>
    </w:p>
    <w:p>
      <w:pPr>
        <w:keepLines/>
        <w:jc w:val="both"/>
      </w:pPr>
      <w:r>
        <w:rPr>
          <w:rFonts w:ascii="Times New Roman" w:hAnsi="Times New Roman" w:eastAsia="Times New Roman" w:cs="Times New Roman"/>
          <w:b w:val="0"/>
          <w:i w:val="0"/>
          <w:sz w:val="24"/>
        </w:rPr>
        <w:t>Do not include credentials, API keys, tokens, cookies, institutional records or unnecessary personal identifiers. The form planned for S10 cannot approve an alternative AI route; any exception requires separate prior teacher authorisation.</w:t>
      </w:r>
    </w:p>
    <w:p>
      <w:pPr>
        <w:pStyle w:val="Heading1"/>
        <w:keepLines/>
        <w:ind w:firstLine="0"/>
        <w:jc w:val="left"/>
      </w:pPr>
      <w:r>
        <w:rPr>
          <w:rFonts w:ascii="Times New Roman" w:hAnsi="Times New Roman" w:eastAsia="Times New Roman" w:cs="Times New Roman"/>
          <w:b w:val="0"/>
          <w:i w:val="0"/>
          <w:sz w:val="24"/>
        </w:rPr>
        <w:t>Transfer to P01 and the required ADR</w:t>
      </w:r>
    </w:p>
    <w:p>
      <w:pPr>
        <w:keepLines/>
        <w:jc w:val="both"/>
      </w:pPr>
      <w:r>
        <w:rPr>
          <w:rFonts w:ascii="Times New Roman" w:hAnsi="Times New Roman" w:eastAsia="Times New Roman" w:cs="Times New Roman"/>
          <w:b w:val="0"/>
          <w:i w:val="0"/>
          <w:sz w:val="24"/>
        </w:rPr>
        <w:t>P01 is the full central implementation in student/src/state/workshop-state.jsx. Keep track and savedIds shared while search and disclosure stay outside the provider. The exact search owner is WorkshopWorkspace. Distinguish seed deduplication from two genuine toggle events and the reduced save/count witness from complete parity.</w:t>
      </w:r>
    </w:p>
    <w:p>
      <w:pPr>
        <w:keepLines/>
        <w:jc w:val="both"/>
      </w:pPr>
      <w:r>
        <w:rPr>
          <w:rFonts w:ascii="Times New Roman" w:hAnsi="Times New Roman" w:eastAsia="Times New Roman" w:cs="Times New Roman"/>
          <w:b w:val="0"/>
          <w:i w:val="0"/>
          <w:sz w:val="24"/>
        </w:rPr>
        <w:t>P02 is optional advanced work. It demonstrates a domain that can justify Redux, not a compulsory architecture for P01. The supplied in-memory adapter and MemoryRouter do not constitute server or address-bar evidence. A later private successor will address optional publication-ordering limits; it is not part of this C10 delivery.</w:t>
      </w:r>
    </w:p>
    <w:p>
      <w:pPr>
        <w:keepLines/>
        <w:jc w:val="both"/>
      </w:pPr>
      <w:r>
        <w:rPr>
          <w:rFonts w:ascii="Times New Roman" w:hAnsi="Times New Roman" w:eastAsia="Times New Roman" w:cs="Times New Roman"/>
          <w:b w:val="0"/>
          <w:i w:val="0"/>
          <w:sz w:val="24"/>
        </w:rPr>
        <w:t>P03 contributes the required capstone state ADR. A manual table can document eligible candidates, evidence provenance, supplied coefficients and sensitivity. Do not make a missing full comparator implementation look like a missing ADR, or use the unavailable starter’s output as a decision. Name a tie honestly and record when no current candidate qualifies.</w:t>
      </w:r>
    </w:p>
    <w:p>
      <w:pPr>
        <w:keepLines/>
        <w:jc w:val="both"/>
      </w:pPr>
      <w:r>
        <w:rPr>
          <w:rFonts w:ascii="Times New Roman" w:hAnsi="Times New Roman" w:eastAsia="Times New Roman" w:cs="Times New Roman"/>
          <w:b w:val="0"/>
          <w:i w:val="0"/>
          <w:sz w:val="24"/>
        </w:rPr>
        <w:t>The planned S10 meeting provides only an 18-minute implementation segment within the full 50–60-minute source estimate for P01. Save an honest draft and a list of outstanding obligations at minute 60. The teacher will set the eventual deadline; no date or additional C10 Assignment is invented here.</w:t>
      </w:r>
    </w:p>
    <w:p>
      <w:pPr>
        <w:pStyle w:val="Heading1"/>
        <w:keepLines/>
        <w:ind w:firstLine="0"/>
        <w:jc w:val="left"/>
      </w:pPr>
      <w:r>
        <w:rPr>
          <w:rFonts w:ascii="Times New Roman" w:hAnsi="Times New Roman" w:eastAsia="Times New Roman" w:cs="Times New Roman"/>
          <w:b w:val="0"/>
          <w:i w:val="0"/>
          <w:sz w:val="24"/>
        </w:rPr>
        <w:t>Compact transfer note</w:t>
      </w:r>
    </w:p>
    <w:p>
      <w:pPr>
        <w:keepLines/>
        <w:jc w:val="both"/>
      </w:pPr>
      <w:r>
        <w:rPr>
          <w:rFonts w:ascii="Times New Roman" w:hAnsi="Times New Roman" w:eastAsia="Times New Roman" w:cs="Times New Roman"/>
          <w:b w:val="0"/>
          <w:i w:val="0"/>
          <w:sz w:val="24"/>
        </w:rPr>
        <w:t>Write: value and owner; consumers and lifetime; authority and derivation; event and invariant; exact source/input; actual or pending witness; one AI claim and check; chosen boundary and rejected alternative; sensitivity; remaining limitation. This is a preparation note, not a completed S10 form or a new submission.</w:t>
      </w:r>
    </w:p>
    <w:sectPr w:rsidR="00FC693F" w:rsidRPr="0006063C" w:rsidSect="00034616">
      <w:headerReference w:type="default" r:id="rId9"/>
      <w:footerReference w:type="default" r:id="rId10"/>
      <w:pgSz w:w="11909" w:h="16834"/>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C10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C10_PREPARATION_TRANSFER</dc:title>
  <dc:subject>C10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