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C13 — Browser and Application Composition Architectures</w:t>
      </w:r>
    </w:p>
    <w:p>
      <w:pPr>
        <w:jc w:val="center"/>
      </w:pPr>
      <w:r>
        <w:rPr>
          <w:rFonts w:ascii="Times New Roman" w:hAnsi="Times New Roman"/>
          <w:b/>
          <w:sz w:val="24"/>
        </w:rPr>
        <w:t>Course handout · British English</w:t>
      </w:r>
    </w:p>
    <w:p>
      <w:pPr>
        <w:jc w:val="center"/>
      </w:pPr>
      <w:r>
        <w:rPr>
          <w:i/>
          <w:sz w:val="21"/>
        </w:rPr>
        <w:t>Status: WIP/PREVIEW — not FINAL</w:t>
      </w:r>
    </w:p>
    <w:p>
      <w:pPr>
        <w:pStyle w:val="Heading1"/>
      </w:pPr>
      <w:r>
        <w:t>Purpose and evidence boundary</w:t>
      </w:r>
    </w:p>
    <w:p>
      <w:r>
        <w:t>C13 asks when a browser boundary is justified, who owns its protocol and lifecycle and what evidence distinguishes a model from execution in the target context. Storage, Workers, Service Workers and iframe composition solve different ownership and isolation problems. None is justified by novelty alone.</w:t>
      </w:r>
    </w:p>
    <w:p>
      <w:r>
        <w:t>The source lecture plans 96 minutes. This delivery contains exactly 60 minutes and an explicit STOP. Source identity, pure JavaScript, fake browser objects, native Worker or Service Worker behaviour, real multi-origin composition and platform acceptance remain separate evidence classes.</w:t>
      </w:r>
    </w:p>
    <w:p>
      <w:pPr>
        <w:pStyle w:val="Heading1"/>
      </w:pPr>
      <w:r>
        <w:t>Exact 60-minute route</w:t>
      </w:r>
    </w:p>
    <w:tbl>
      <w:tblPr>
        <w:tblStyle w:val="TableGrid"/>
        <w:tblW w:type="auto" w:w="0"/>
        <w:jc w:val="center"/>
        <w:tblLook w:firstColumn="1" w:firstRow="1" w:lastColumn="0" w:lastRow="0" w:noHBand="0" w:noVBand="1" w:val="04A0"/>
      </w:tblPr>
      <w:tblGrid>
        <w:gridCol w:w="3213"/>
        <w:gridCol w:w="3213"/>
        <w:gridCol w:w="3213"/>
      </w:tblGrid>
      <w:tr>
        <w:tc>
          <w:tcPr>
            <w:tcW w:type="dxa" w:w="1247"/>
            <w:vAlign w:val="center"/>
            <w:shd w:fill="D9EAF7"/>
          </w:tcPr>
          <w:p>
            <w:pPr>
              <w:spacing w:after="0"/>
            </w:pPr>
            <w:r/>
            <w:r>
              <w:rPr>
                <w:rFonts w:ascii="Times New Roman" w:hAnsi="Times New Roman" w:eastAsia="Times New Roman"/>
                <w:b/>
                <w:sz w:val="16"/>
              </w:rPr>
              <w:t>Minutes</w:t>
            </w:r>
          </w:p>
        </w:tc>
        <w:tc>
          <w:tcPr>
            <w:tcW w:type="dxa" w:w="2835"/>
            <w:vAlign w:val="center"/>
            <w:shd w:fill="D9EAF7"/>
          </w:tcPr>
          <w:p>
            <w:pPr>
              <w:spacing w:after="0"/>
            </w:pPr>
            <w:r/>
            <w:r>
              <w:rPr>
                <w:rFonts w:ascii="Times New Roman" w:hAnsi="Times New Roman" w:eastAsia="Times New Roman"/>
                <w:b/>
                <w:sz w:val="16"/>
              </w:rPr>
              <w:t>Focus</w:t>
            </w:r>
          </w:p>
        </w:tc>
        <w:tc>
          <w:tcPr>
            <w:tcW w:type="dxa" w:w="5386"/>
            <w:vAlign w:val="center"/>
            <w:shd w:fill="D9EAF7"/>
          </w:tcPr>
          <w:p>
            <w:pPr>
              <w:spacing w:after="0"/>
            </w:pPr>
            <w:r/>
            <w:r>
              <w:rPr>
                <w:rFonts w:ascii="Times New Roman" w:hAnsi="Times New Roman" w:eastAsia="Times New Roman"/>
                <w:b/>
                <w:sz w:val="16"/>
              </w:rPr>
              <w:t>Evidence boundary</w:t>
            </w:r>
          </w:p>
        </w:tc>
      </w:tr>
      <w:tr>
        <w:tc>
          <w:tcPr>
            <w:tcW w:type="dxa" w:w="1247"/>
            <w:vAlign w:val="center"/>
          </w:tcPr>
          <w:p>
            <w:pPr>
              <w:spacing w:after="0"/>
            </w:pPr>
            <w:r/>
            <w:r>
              <w:rPr>
                <w:rFonts w:ascii="Times New Roman" w:hAnsi="Times New Roman" w:eastAsia="Times New Roman"/>
                <w:b w:val="0"/>
                <w:sz w:val="16"/>
              </w:rPr>
              <w:t>00–05</w:t>
            </w:r>
          </w:p>
        </w:tc>
        <w:tc>
          <w:tcPr>
            <w:tcW w:type="dxa" w:w="2835"/>
            <w:vAlign w:val="center"/>
          </w:tcPr>
          <w:p>
            <w:pPr>
              <w:spacing w:after="0"/>
            </w:pPr>
            <w:r/>
            <w:r>
              <w:rPr>
                <w:rFonts w:ascii="Times New Roman" w:hAnsi="Times New Roman" w:eastAsia="Times New Roman"/>
                <w:b w:val="0"/>
                <w:sz w:val="16"/>
              </w:rPr>
              <w:t>Boundary cost before browser APIs</w:t>
            </w:r>
          </w:p>
        </w:tc>
        <w:tc>
          <w:tcPr>
            <w:tcW w:type="dxa" w:w="5386"/>
            <w:vAlign w:val="center"/>
          </w:tcPr>
          <w:p>
            <w:pPr>
              <w:spacing w:after="0"/>
            </w:pPr>
            <w:r/>
            <w:r>
              <w:rPr>
                <w:rFonts w:ascii="Times New Roman" w:hAnsi="Times New Roman" w:eastAsia="Times New Roman"/>
                <w:b w:val="0"/>
                <w:sz w:val="16"/>
              </w:rPr>
              <w:t>One requirement, one owner, one lifecycle and one simpler alternative.</w:t>
            </w:r>
          </w:p>
        </w:tc>
      </w:tr>
      <w:tr>
        <w:tc>
          <w:tcPr>
            <w:tcW w:type="dxa" w:w="1247"/>
            <w:vAlign w:val="center"/>
          </w:tcPr>
          <w:p>
            <w:pPr>
              <w:spacing w:after="0"/>
            </w:pPr>
            <w:r/>
            <w:r>
              <w:rPr>
                <w:rFonts w:ascii="Times New Roman" w:hAnsi="Times New Roman" w:eastAsia="Times New Roman"/>
                <w:b w:val="0"/>
                <w:sz w:val="16"/>
              </w:rPr>
              <w:t>05–14</w:t>
            </w:r>
          </w:p>
        </w:tc>
        <w:tc>
          <w:tcPr>
            <w:tcW w:type="dxa" w:w="2835"/>
            <w:vAlign w:val="center"/>
          </w:tcPr>
          <w:p>
            <w:pPr>
              <w:spacing w:after="0"/>
            </w:pPr>
            <w:r/>
            <w:r>
              <w:rPr>
                <w:rFonts w:ascii="Times New Roman" w:hAnsi="Times New Roman" w:eastAsia="Times New Roman"/>
                <w:b w:val="0"/>
                <w:sz w:val="16"/>
              </w:rPr>
              <w:t>Storage, clone and transfer</w:t>
            </w:r>
          </w:p>
        </w:tc>
        <w:tc>
          <w:tcPr>
            <w:tcW w:type="dxa" w:w="5386"/>
            <w:vAlign w:val="center"/>
          </w:tcPr>
          <w:p>
            <w:pPr>
              <w:spacing w:after="0"/>
            </w:pPr>
            <w:r/>
            <w:r>
              <w:rPr>
                <w:rFonts w:ascii="Times New Roman" w:hAnsi="Times New Roman" w:eastAsia="Times New Roman"/>
                <w:b w:val="0"/>
                <w:sz w:val="16"/>
              </w:rPr>
              <w:t>Exact examples, no browser run claim.</w:t>
            </w:r>
          </w:p>
        </w:tc>
      </w:tr>
      <w:tr>
        <w:tc>
          <w:tcPr>
            <w:tcW w:type="dxa" w:w="1247"/>
            <w:vAlign w:val="center"/>
          </w:tcPr>
          <w:p>
            <w:pPr>
              <w:spacing w:after="0"/>
            </w:pPr>
            <w:r/>
            <w:r>
              <w:rPr>
                <w:rFonts w:ascii="Times New Roman" w:hAnsi="Times New Roman" w:eastAsia="Times New Roman"/>
                <w:b w:val="0"/>
                <w:sz w:val="16"/>
              </w:rPr>
              <w:t>14–25</w:t>
            </w:r>
          </w:p>
        </w:tc>
        <w:tc>
          <w:tcPr>
            <w:tcW w:type="dxa" w:w="2835"/>
            <w:vAlign w:val="center"/>
          </w:tcPr>
          <w:p>
            <w:pPr>
              <w:spacing w:after="0"/>
            </w:pPr>
            <w:r/>
            <w:r>
              <w:rPr>
                <w:rFonts w:ascii="Times New Roman" w:hAnsi="Times New Roman" w:eastAsia="Times New Roman"/>
                <w:b w:val="0"/>
                <w:sz w:val="16"/>
              </w:rPr>
              <w:t>Worker protocol and P01 lifecycle</w:t>
            </w:r>
          </w:p>
        </w:tc>
        <w:tc>
          <w:tcPr>
            <w:tcW w:type="dxa" w:w="5386"/>
            <w:vAlign w:val="center"/>
          </w:tcPr>
          <w:p>
            <w:pPr>
              <w:spacing w:after="0"/>
            </w:pPr>
            <w:r/>
            <w:r>
              <w:rPr>
                <w:rFonts w:ascii="Times New Roman" w:hAnsi="Times New Roman" w:eastAsia="Times New Roman"/>
                <w:b w:val="0"/>
                <w:sz w:val="16"/>
              </w:rPr>
              <w:t>Correlation, cancellation, failures and cleanup; P01 source-bound models only.</w:t>
            </w:r>
          </w:p>
        </w:tc>
      </w:tr>
      <w:tr>
        <w:tc>
          <w:tcPr>
            <w:tcW w:type="dxa" w:w="1247"/>
            <w:vAlign w:val="center"/>
          </w:tcPr>
          <w:p>
            <w:pPr>
              <w:spacing w:after="0"/>
            </w:pPr>
            <w:r/>
            <w:r>
              <w:rPr>
                <w:rFonts w:ascii="Times New Roman" w:hAnsi="Times New Roman" w:eastAsia="Times New Roman"/>
                <w:b w:val="0"/>
                <w:sz w:val="16"/>
              </w:rPr>
              <w:t>25–34</w:t>
            </w:r>
          </w:p>
        </w:tc>
        <w:tc>
          <w:tcPr>
            <w:tcW w:type="dxa" w:w="2835"/>
            <w:vAlign w:val="center"/>
          </w:tcPr>
          <w:p>
            <w:pPr>
              <w:spacing w:after="0"/>
            </w:pPr>
            <w:r/>
            <w:r>
              <w:rPr>
                <w:rFonts w:ascii="Times New Roman" w:hAnsi="Times New Roman" w:eastAsia="Times New Roman"/>
                <w:b w:val="0"/>
                <w:sz w:val="16"/>
              </w:rPr>
              <w:t>Service Worker registered, ready and controlled</w:t>
            </w:r>
          </w:p>
        </w:tc>
        <w:tc>
          <w:tcPr>
            <w:tcW w:type="dxa" w:w="5386"/>
            <w:vAlign w:val="center"/>
          </w:tcPr>
          <w:p>
            <w:pPr>
              <w:spacing w:after="0"/>
            </w:pPr>
            <w:r/>
            <w:r>
              <w:rPr>
                <w:rFonts w:ascii="Times New Roman" w:hAnsi="Times New Roman" w:eastAsia="Times New Roman"/>
                <w:b w:val="0"/>
                <w:sz w:val="16"/>
              </w:rPr>
              <w:t>Correct example discrepancy; P02 remains guided.</w:t>
            </w:r>
          </w:p>
        </w:tc>
      </w:tr>
      <w:tr>
        <w:tc>
          <w:tcPr>
            <w:tcW w:type="dxa" w:w="1247"/>
            <w:vAlign w:val="center"/>
          </w:tcPr>
          <w:p>
            <w:pPr>
              <w:spacing w:after="0"/>
            </w:pPr>
            <w:r/>
            <w:r>
              <w:rPr>
                <w:rFonts w:ascii="Times New Roman" w:hAnsi="Times New Roman" w:eastAsia="Times New Roman"/>
                <w:b w:val="0"/>
                <w:sz w:val="16"/>
              </w:rPr>
              <w:t>34–43</w:t>
            </w:r>
          </w:p>
        </w:tc>
        <w:tc>
          <w:tcPr>
            <w:tcW w:type="dxa" w:w="2835"/>
            <w:vAlign w:val="center"/>
          </w:tcPr>
          <w:p>
            <w:pPr>
              <w:spacing w:after="0"/>
            </w:pPr>
            <w:r/>
            <w:r>
              <w:rPr>
                <w:rFonts w:ascii="Times New Roman" w:hAnsi="Times New Roman" w:eastAsia="Times New Roman"/>
                <w:b w:val="0"/>
                <w:sz w:val="16"/>
              </w:rPr>
              <w:t>Caching, replacement and offline claims</w:t>
            </w:r>
          </w:p>
        </w:tc>
        <w:tc>
          <w:tcPr>
            <w:tcW w:type="dxa" w:w="5386"/>
            <w:vAlign w:val="center"/>
          </w:tcPr>
          <w:p>
            <w:pPr>
              <w:spacing w:after="0"/>
            </w:pPr>
            <w:r/>
            <w:r>
              <w:rPr>
                <w:rFonts w:ascii="Times New Roman" w:hAnsi="Times New Roman" w:eastAsia="Times New Roman"/>
                <w:b w:val="0"/>
                <w:sz w:val="16"/>
              </w:rPr>
              <w:t>Policy and product claims are distinct from one cached shell.</w:t>
            </w:r>
          </w:p>
        </w:tc>
      </w:tr>
      <w:tr>
        <w:tc>
          <w:tcPr>
            <w:tcW w:type="dxa" w:w="1247"/>
            <w:vAlign w:val="center"/>
          </w:tcPr>
          <w:p>
            <w:pPr>
              <w:spacing w:after="0"/>
            </w:pPr>
            <w:r/>
            <w:r>
              <w:rPr>
                <w:rFonts w:ascii="Times New Roman" w:hAnsi="Times New Roman" w:eastAsia="Times New Roman"/>
                <w:b w:val="0"/>
                <w:sz w:val="16"/>
              </w:rPr>
              <w:t>43–51</w:t>
            </w:r>
          </w:p>
        </w:tc>
        <w:tc>
          <w:tcPr>
            <w:tcW w:type="dxa" w:w="2835"/>
            <w:vAlign w:val="center"/>
          </w:tcPr>
          <w:p>
            <w:pPr>
              <w:spacing w:after="0"/>
            </w:pPr>
            <w:r/>
            <w:r>
              <w:rPr>
                <w:rFonts w:ascii="Times New Roman" w:hAnsi="Times New Roman" w:eastAsia="Times New Roman"/>
                <w:b w:val="0"/>
                <w:sz w:val="16"/>
              </w:rPr>
              <w:t>Message trust and exact target origin</w:t>
            </w:r>
          </w:p>
        </w:tc>
        <w:tc>
          <w:tcPr>
            <w:tcW w:type="dxa" w:w="5386"/>
            <w:vAlign w:val="center"/>
          </w:tcPr>
          <w:p>
            <w:pPr>
              <w:spacing w:after="0"/>
            </w:pPr>
            <w:r/>
            <w:r>
              <w:rPr>
                <w:rFonts w:ascii="Times New Roman" w:hAnsi="Times New Roman" w:eastAsia="Times New Roman"/>
                <w:b w:val="0"/>
                <w:sz w:val="16"/>
              </w:rPr>
              <w:t>Origin, source, version and payload are separate checks.</w:t>
            </w:r>
          </w:p>
        </w:tc>
      </w:tr>
      <w:tr>
        <w:tc>
          <w:tcPr>
            <w:tcW w:type="dxa" w:w="1247"/>
            <w:vAlign w:val="center"/>
          </w:tcPr>
          <w:p>
            <w:pPr>
              <w:spacing w:after="0"/>
            </w:pPr>
            <w:r/>
            <w:r>
              <w:rPr>
                <w:rFonts w:ascii="Times New Roman" w:hAnsi="Times New Roman" w:eastAsia="Times New Roman"/>
                <w:b w:val="0"/>
                <w:sz w:val="16"/>
              </w:rPr>
              <w:t>51–57</w:t>
            </w:r>
          </w:p>
        </w:tc>
        <w:tc>
          <w:tcPr>
            <w:tcW w:type="dxa" w:w="2835"/>
            <w:vAlign w:val="center"/>
          </w:tcPr>
          <w:p>
            <w:pPr>
              <w:spacing w:after="0"/>
            </w:pPr>
            <w:r/>
            <w:r>
              <w:rPr>
                <w:rFonts w:ascii="Times New Roman" w:hAnsi="Times New Roman" w:eastAsia="Times New Roman"/>
                <w:b w:val="0"/>
                <w:sz w:val="16"/>
              </w:rPr>
              <w:t>Frame generation, composition cost and project roles</w:t>
            </w:r>
          </w:p>
        </w:tc>
        <w:tc>
          <w:tcPr>
            <w:tcW w:type="dxa" w:w="5386"/>
            <w:vAlign w:val="center"/>
          </w:tcPr>
          <w:p>
            <w:pPr>
              <w:spacing w:after="0"/>
            </w:pPr>
            <w:r/>
            <w:r>
              <w:rPr>
                <w:rFonts w:ascii="Times New Roman" w:hAnsi="Times New Roman" w:eastAsia="Times New Roman"/>
                <w:b w:val="0"/>
                <w:sz w:val="16"/>
              </w:rPr>
              <w:t>P03 optional; launch Regression Harness transfer.</w:t>
            </w:r>
          </w:p>
        </w:tc>
      </w:tr>
      <w:tr>
        <w:tc>
          <w:tcPr>
            <w:tcW w:type="dxa" w:w="1247"/>
            <w:vAlign w:val="center"/>
          </w:tcPr>
          <w:p>
            <w:pPr>
              <w:spacing w:after="0"/>
            </w:pPr>
            <w:r/>
            <w:r>
              <w:rPr>
                <w:rFonts w:ascii="Times New Roman" w:hAnsi="Times New Roman" w:eastAsia="Times New Roman"/>
                <w:b w:val="0"/>
                <w:sz w:val="16"/>
              </w:rPr>
              <w:t>57–60</w:t>
            </w:r>
          </w:p>
        </w:tc>
        <w:tc>
          <w:tcPr>
            <w:tcW w:type="dxa" w:w="2835"/>
            <w:vAlign w:val="center"/>
          </w:tcPr>
          <w:p>
            <w:pPr>
              <w:spacing w:after="0"/>
            </w:pPr>
            <w:r/>
            <w:r>
              <w:rPr>
                <w:rFonts w:ascii="Times New Roman" w:hAnsi="Times New Roman" w:eastAsia="Times New Roman"/>
                <w:b w:val="0"/>
                <w:sz w:val="16"/>
              </w:rPr>
              <w:t>Retrieval and STOP</w:t>
            </w:r>
          </w:p>
        </w:tc>
        <w:tc>
          <w:tcPr>
            <w:tcW w:type="dxa" w:w="5386"/>
            <w:vAlign w:val="center"/>
          </w:tcPr>
          <w:p>
            <w:pPr>
              <w:spacing w:after="0"/>
            </w:pPr>
            <w:r/>
            <w:r>
              <w:rPr>
                <w:rFonts w:ascii="Times New Roman" w:hAnsi="Times New Roman" w:eastAsia="Times New Roman"/>
                <w:b w:val="0"/>
                <w:sz w:val="16"/>
              </w:rPr>
              <w:t>Owner, invariant, witness and limitation; no overflow.</w:t>
            </w:r>
          </w:p>
        </w:tc>
      </w:tr>
    </w:tbl>
    <w:p>
      <w:pPr>
        <w:spacing w:after="0"/>
      </w:pPr>
    </w:p>
    <w:p>
      <w:pPr>
        <w:pStyle w:val="Heading1"/>
      </w:pPr>
      <w:r>
        <w:t>Source topics</w:t>
      </w:r>
    </w:p>
    <w:p>
      <w:pPr>
        <w:pStyle w:val="Heading2"/>
      </w:pPr>
      <w:r>
        <w:t>1. Browser storage has scope and lifetime</w:t>
      </w:r>
    </w:p>
    <w:p>
      <w:r>
        <w:t>Browser storage belongs to an origin and has a product lifetime. It is not shared authority and it can disappear or become unavailable.</w:t>
      </w:r>
    </w:p>
    <w:p>
      <w:pPr>
        <w:ind w:firstLine="0"/>
      </w:pPr>
      <w:r>
        <w:rPr>
          <w:b/>
        </w:rPr>
        <w:t xml:space="preserve">Evidence boundary. </w:t>
      </w:r>
      <w:r>
        <w:t>Source identity and fixed model only; no storage API is invoked.</w:t>
      </w:r>
    </w:p>
    <w:p>
      <w:pPr>
        <w:pStyle w:val="Heading2"/>
      </w:pPr>
      <w:r>
        <w:t>2. Stored data is untrusted input</w:t>
      </w:r>
    </w:p>
    <w:p>
      <w:r>
        <w:t>Every stored string crosses a trust boundary when it is read. Parse, version-check and validate before admitting it into application state.</w:t>
      </w:r>
    </w:p>
    <w:p>
      <w:pPr>
        <w:ind w:firstLine="0"/>
      </w:pPr>
      <w:r>
        <w:rPr>
          <w:b/>
        </w:rPr>
        <w:t xml:space="preserve">Evidence boundary. </w:t>
      </w:r>
      <w:r>
        <w:t>No claim that every browser storage failure is handled by the canonical example.</w:t>
      </w:r>
    </w:p>
    <w:p>
      <w:pPr>
        <w:pStyle w:val="Heading2"/>
      </w:pPr>
      <w:r>
        <w:t>3. Records need contracts</w:t>
      </w:r>
    </w:p>
    <w:p>
      <w:r>
        <w:t>A record contract names the namespace, version, schema, fallback and migration or removal rule. Sensitive credentials do not belong in it.</w:t>
      </w:r>
    </w:p>
    <w:p>
      <w:pPr>
        <w:ind w:firstLine="0"/>
      </w:pPr>
      <w:r>
        <w:rPr>
          <w:b/>
        </w:rPr>
        <w:t xml:space="preserve">Evidence boundary. </w:t>
      </w:r>
      <w:r>
        <w:t>Contract review, not a security certificate.</w:t>
      </w:r>
    </w:p>
    <w:p>
      <w:pPr>
        <w:pStyle w:val="Heading2"/>
      </w:pPr>
      <w:r>
        <w:t>4. Worked example — versioned storage record</w:t>
      </w:r>
    </w:p>
    <w:p>
      <w:r>
        <w:t>The exact example round-trips a supported record and removes malformed or stale data. Storage access errors remain outside its protected region.</w:t>
      </w:r>
    </w:p>
    <w:p>
      <w:pPr>
        <w:ind w:firstLine="0"/>
      </w:pPr>
      <w:r>
        <w:rPr>
          <w:b/>
        </w:rPr>
        <w:t xml:space="preserve">Evidence boundary. </w:t>
      </w:r>
      <w:r>
        <w:t>Exact source retained; historical browser validation is not rerun.</w:t>
      </w:r>
    </w:p>
    <w:p>
      <w:pPr>
        <w:pStyle w:val="Heading2"/>
      </w:pPr>
      <w:r>
        <w:t>5. Workers move computation contexts</w:t>
      </w:r>
    </w:p>
    <w:p>
      <w:r>
        <w:t>A Worker moves computation into a separate execution context. It does not move DOM ownership and it adds a protocol and lifecycle.</w:t>
      </w:r>
    </w:p>
    <w:p>
      <w:pPr>
        <w:ind w:firstLine="0"/>
      </w:pPr>
      <w:r>
        <w:rPr>
          <w:b/>
        </w:rPr>
        <w:t xml:space="preserve">Evidence boundary. </w:t>
      </w:r>
      <w:r>
        <w:t>No Worker is created in this package.</w:t>
      </w:r>
    </w:p>
    <w:p>
      <w:pPr>
        <w:pStyle w:val="Heading2"/>
      </w:pPr>
      <w:r>
        <w:t>6. `postMessage` normally clones</w:t>
      </w:r>
    </w:p>
    <w:p>
      <w:r>
        <w:t>Ordinary postMessage uses structured clone. The receiver gets a distinct graph and unsupported values can fail cloning.</w:t>
      </w:r>
    </w:p>
    <w:p>
      <w:pPr>
        <w:ind w:firstLine="0"/>
      </w:pPr>
      <w:r>
        <w:rPr>
          <w:b/>
        </w:rPr>
        <w:t xml:space="preserve">Evidence boundary. </w:t>
      </w:r>
      <w:r>
        <w:t>JavaScript explanation, not native postMessage evidence.</w:t>
      </w:r>
    </w:p>
    <w:p>
      <w:pPr>
        <w:pStyle w:val="Heading2"/>
      </w:pPr>
      <w:r>
        <w:t>7. Transfer moves ownership</w:t>
      </w:r>
    </w:p>
    <w:p>
      <w:r>
        <w:t>Transferables move ownership of selected resources such as ArrayBuffer backing stores. The sender may lose access after transfer.</w:t>
      </w:r>
    </w:p>
    <w:p>
      <w:pPr>
        <w:ind w:firstLine="0"/>
      </w:pPr>
      <w:r>
        <w:rPr>
          <w:b/>
        </w:rPr>
        <w:t xml:space="preserve">Evidence boundary. </w:t>
      </w:r>
      <w:r>
        <w:t>No buffer is transferred by a browser here.</w:t>
      </w:r>
    </w:p>
    <w:p>
      <w:pPr>
        <w:pStyle w:val="Heading2"/>
      </w:pPr>
      <w:r>
        <w:t>8. Main thread owns UI</w:t>
      </w:r>
    </w:p>
    <w:p>
      <w:r>
        <w:t>The main thread retains DOM ownership. A Worker returns data or typed events and the page decides how the UI changes.</w:t>
      </w:r>
    </w:p>
    <w:p>
      <w:pPr>
        <w:ind w:firstLine="0"/>
      </w:pPr>
      <w:r>
        <w:rPr>
          <w:b/>
        </w:rPr>
        <w:t xml:space="preserve">Evidence boundary. </w:t>
      </w:r>
      <w:r>
        <w:t>No responsiveness measurement or rendering benchmark.</w:t>
      </w:r>
    </w:p>
    <w:p>
      <w:pPr>
        <w:pStyle w:val="Heading2"/>
      </w:pPr>
      <w:r>
        <w:t>9. Worked example — worker clone boundary</w:t>
      </w:r>
    </w:p>
    <w:p>
      <w:r>
        <w:t>The exact clone-boundary example demonstrates one request, one cloned object and one result. It does not cover concurrent correlation, error or cleanup.</w:t>
      </w:r>
    </w:p>
    <w:p>
      <w:pPr>
        <w:ind w:firstLine="0"/>
      </w:pPr>
      <w:r>
        <w:rPr>
          <w:b/>
        </w:rPr>
        <w:t xml:space="preserve">Evidence boundary. </w:t>
      </w:r>
      <w:r>
        <w:t>Exact source anchor only.</w:t>
      </w:r>
    </w:p>
    <w:p>
      <w:pPr>
        <w:pStyle w:val="Heading2"/>
      </w:pPr>
      <w:r>
        <w:t>10. Real worker protocols need lifecycle</w:t>
      </w:r>
    </w:p>
    <w:p>
      <w:r>
        <w:t>A real Worker client needs identifiers, pending state, progress, terminal paths, cancellation, worker-failure policy and disposal.</w:t>
      </w:r>
    </w:p>
    <w:p>
      <w:pPr>
        <w:ind w:firstLine="0"/>
      </w:pPr>
      <w:r>
        <w:rPr>
          <w:b/>
        </w:rPr>
        <w:t xml:space="preserve">Evidence boundary. </w:t>
      </w:r>
      <w:r>
        <w:t>P01 is the later central implementation; C13 provides models, not the assessed answer.</w:t>
      </w:r>
    </w:p>
    <w:p>
      <w:pPr>
        <w:pStyle w:val="Heading2"/>
      </w:pPr>
      <w:r>
        <w:t>11. Timers do not offload CPU</w:t>
      </w:r>
    </w:p>
    <w:p>
      <w:r>
        <w:t>setTimeout defers work on the same event loop. It does not move CPU-heavy work to another execution context.</w:t>
      </w:r>
    </w:p>
    <w:p>
      <w:pPr>
        <w:ind w:firstLine="0"/>
      </w:pPr>
      <w:r>
        <w:rPr>
          <w:b/>
        </w:rPr>
        <w:t xml:space="preserve">Evidence boundary. </w:t>
      </w:r>
      <w:r>
        <w:t>Conceptual comparison only.</w:t>
      </w:r>
    </w:p>
    <w:p>
      <w:pPr>
        <w:pStyle w:val="Heading2"/>
      </w:pPr>
      <w:r>
        <w:t>12. Service Workers are browser-managed intermediaries</w:t>
      </w:r>
    </w:p>
    <w:p>
      <w:r>
        <w:t>A Service Worker is a browser-managed intermediary with install, activate, control and replacement lifecycle. It is not merely another Worker.</w:t>
      </w:r>
    </w:p>
    <w:p>
      <w:pPr>
        <w:ind w:firstLine="0"/>
      </w:pPr>
      <w:r>
        <w:rPr>
          <w:b/>
        </w:rPr>
        <w:t xml:space="preserve">Evidence boundary. </w:t>
      </w:r>
      <w:r>
        <w:t>No Service Worker registration is performed.</w:t>
      </w:r>
    </w:p>
    <w:p>
      <w:pPr>
        <w:pStyle w:val="Heading2"/>
      </w:pPr>
      <w:r>
        <w:t>13. Registered, ready, and controlled differ</w:t>
      </w:r>
    </w:p>
    <w:p>
      <w:r>
        <w:t>Registered, active, ready and controlling are different states. Evidence must identify which state was actually observed.</w:t>
      </w:r>
    </w:p>
    <w:p>
      <w:pPr>
        <w:ind w:firstLine="0"/>
      </w:pPr>
      <w:r>
        <w:rPr>
          <w:b/>
        </w:rPr>
        <w:t xml:space="preserve">Evidence boundary. </w:t>
      </w:r>
      <w:r>
        <w:t>The canonical example currently sends to active even without a controller.</w:t>
      </w:r>
    </w:p>
    <w:p>
      <w:pPr>
        <w:pStyle w:val="Heading2"/>
      </w:pPr>
      <w:r>
        <w:t>14. First load may be uncontrolled</w:t>
      </w:r>
    </w:p>
    <w:p>
      <w:r>
        <w:t>The first page load may be uncontrolled. A direct path is therefore a separate contract, not an assumption about active workers.</w:t>
      </w:r>
    </w:p>
    <w:p>
      <w:pPr>
        <w:ind w:firstLine="0"/>
      </w:pPr>
      <w:r>
        <w:rPr>
          <w:b/>
        </w:rPr>
        <w:t xml:space="preserve">Evidence boundary. </w:t>
      </w:r>
      <w:r>
        <w:t>No first-load browser experiment.</w:t>
      </w:r>
    </w:p>
    <w:p>
      <w:pPr>
        <w:pStyle w:val="Heading2"/>
      </w:pPr>
      <w:r>
        <w:t>15. Scope limits clients</w:t>
      </w:r>
    </w:p>
    <w:p>
      <w:r>
        <w:t>Scope limits which clients can be controlled. Scope is not a general authorisation rule for application data.</w:t>
      </w:r>
    </w:p>
    <w:p>
      <w:pPr>
        <w:ind w:firstLine="0"/>
      </w:pPr>
      <w:r>
        <w:rPr>
          <w:b/>
        </w:rPr>
        <w:t xml:space="preserve">Evidence boundary. </w:t>
      </w:r>
      <w:r>
        <w:t>No scope registration observed.</w:t>
      </w:r>
    </w:p>
    <w:p>
      <w:pPr>
        <w:pStyle w:val="Heading2"/>
      </w:pPr>
      <w:r>
        <w:t>16. Interception should be narrow</w:t>
      </w:r>
    </w:p>
    <w:p>
      <w:r>
        <w:t>Interception should be narrow: method, origin, path and message schema each need explicit policy.</w:t>
      </w:r>
    </w:p>
    <w:p>
      <w:pPr>
        <w:ind w:firstLine="0"/>
      </w:pPr>
      <w:r>
        <w:rPr>
          <w:b/>
        </w:rPr>
        <w:t xml:space="preserve">Evidence boundary. </w:t>
      </w:r>
      <w:r>
        <w:t>No fetch interception or cache event executed.</w:t>
      </w:r>
    </w:p>
    <w:p>
      <w:pPr>
        <w:pStyle w:val="Heading2"/>
      </w:pPr>
      <w:r>
        <w:t>17. Worked example — Service Worker scope decision</w:t>
      </w:r>
    </w:p>
    <w:p>
      <w:r>
        <w:t>The exact example demonstrates registration and messaging, but its controller-or-active selection does not prove the stated direct first-load branch.</w:t>
      </w:r>
    </w:p>
    <w:p>
      <w:pPr>
        <w:ind w:firstLine="0"/>
      </w:pPr>
      <w:r>
        <w:rPr>
          <w:b/>
        </w:rPr>
        <w:t xml:space="preserve">Evidence boundary. </w:t>
      </w:r>
      <w:r>
        <w:t>Source/code discrepancy retained and explained.</w:t>
      </w:r>
    </w:p>
    <w:p>
      <w:pPr>
        <w:pStyle w:val="Heading2"/>
      </w:pPr>
      <w:r>
        <w:t>18. Caching is a separate design</w:t>
      </w:r>
    </w:p>
    <w:p>
      <w:r>
        <w:t>Caching is a separate design involving freshness, versioning, failure, storage and eviction. Registration alone does not provide an offline product.</w:t>
      </w:r>
    </w:p>
    <w:p>
      <w:pPr>
        <w:ind w:firstLine="0"/>
      </w:pPr>
      <w:r>
        <w:rPr>
          <w:b/>
        </w:rPr>
        <w:t xml:space="preserve">Evidence boundary. </w:t>
      </w:r>
      <w:r>
        <w:t>No Cache API execution.</w:t>
      </w:r>
    </w:p>
    <w:p>
      <w:pPr>
        <w:pStyle w:val="Heading2"/>
      </w:pPr>
      <w:r>
        <w:t>19. Delete only owned caches</w:t>
      </w:r>
    </w:p>
    <w:p>
      <w:r>
        <w:t>Delete only caches owned by the current application namespace and version. Broad deletion is destructive across unrelated features.</w:t>
      </w:r>
    </w:p>
    <w:p>
      <w:pPr>
        <w:ind w:firstLine="0"/>
      </w:pPr>
      <w:r>
        <w:rPr>
          <w:b/>
        </w:rPr>
        <w:t xml:space="preserve">Evidence boundary. </w:t>
      </w:r>
      <w:r>
        <w:t>Fixed policy model only.</w:t>
      </w:r>
    </w:p>
    <w:p>
      <w:pPr>
        <w:pStyle w:val="Heading2"/>
      </w:pPr>
      <w:r>
        <w:t>20. Controller replacement affects pending work</w:t>
      </w:r>
    </w:p>
    <w:p>
      <w:r>
        <w:t>Controller replacement can strand pending work. Retry, rejection or replay must be an explicit protocol choice.</w:t>
      </w:r>
    </w:p>
    <w:p>
      <w:pPr>
        <w:ind w:firstLine="0"/>
      </w:pPr>
      <w:r>
        <w:rPr>
          <w:b/>
        </w:rPr>
        <w:t xml:space="preserve">Evidence boundary. </w:t>
      </w:r>
      <w:r>
        <w:t>No controllerchange event observed.</w:t>
      </w:r>
    </w:p>
    <w:p>
      <w:pPr>
        <w:pStyle w:val="Heading2"/>
      </w:pPr>
      <w:r>
        <w:t>21. Offline is a product claim</w:t>
      </w:r>
    </w:p>
    <w:p>
      <w:r>
        <w:t>Offline is a product claim with defined routes, assets and fallbacks. One cached shell cannot establish it.</w:t>
      </w:r>
    </w:p>
    <w:p>
      <w:pPr>
        <w:ind w:firstLine="0"/>
      </w:pPr>
      <w:r>
        <w:rPr>
          <w:b/>
        </w:rPr>
        <w:t xml:space="preserve">Evidence boundary. </w:t>
      </w:r>
      <w:r>
        <w:t>No offline acceptance.</w:t>
      </w:r>
    </w:p>
    <w:p>
      <w:pPr>
        <w:pStyle w:val="Heading2"/>
      </w:pPr>
      <w:r>
        <w:t>22. `postMessage` is transport, not trust</w:t>
      </w:r>
    </w:p>
    <w:p>
      <w:r>
        <w:t>postMessage transports data. Trust still requires origin, exact source, protocol version, message type and payload schema.</w:t>
      </w:r>
    </w:p>
    <w:p>
      <w:pPr>
        <w:ind w:firstLine="0"/>
      </w:pPr>
      <w:r>
        <w:rPr>
          <w:b/>
        </w:rPr>
        <w:t xml:space="preserve">Evidence boundary. </w:t>
      </w:r>
      <w:r>
        <w:t>Derived gate model, not browser messaging.</w:t>
      </w:r>
    </w:p>
    <w:p>
      <w:pPr>
        <w:pStyle w:val="Heading2"/>
      </w:pPr>
      <w:r>
        <w:t>23. Window messages need exact origin and source</w:t>
      </w:r>
    </w:p>
    <w:p>
      <w:r>
        <w:t>For Window messages, origin checks the document location and source checks the exact Window. The canonical decoy is same-origin, so it mainly proves wrong-source rejection.</w:t>
      </w:r>
    </w:p>
    <w:p>
      <w:pPr>
        <w:ind w:firstLine="0"/>
      </w:pPr>
      <w:r>
        <w:rPr>
          <w:b/>
        </w:rPr>
        <w:t xml:space="preserve">Evidence boundary. </w:t>
      </w:r>
      <w:r>
        <w:t>No distinct cross-origin sender was run.</w:t>
      </w:r>
    </w:p>
    <w:p>
      <w:pPr>
        <w:pStyle w:val="Heading2"/>
      </w:pPr>
      <w:r>
        <w:t>24. Send with exact target origin</w:t>
      </w:r>
    </w:p>
    <w:p>
      <w:r>
        <w:t>Send with an exact target origin. A wildcard destination should not be a convenience default for privileged messages.</w:t>
      </w:r>
    </w:p>
    <w:p>
      <w:pPr>
        <w:ind w:firstLine="0"/>
      </w:pPr>
      <w:r>
        <w:rPr>
          <w:b/>
        </w:rPr>
        <w:t xml:space="preserve">Evidence boundary. </w:t>
      </w:r>
      <w:r>
        <w:t>No native postMessage call.</w:t>
      </w:r>
    </w:p>
    <w:p>
      <w:pPr>
        <w:pStyle w:val="Heading2"/>
      </w:pPr>
      <w:r>
        <w:t>25. Worked example — message contract gate</w:t>
      </w:r>
    </w:p>
    <w:p>
      <w:r>
        <w:t>The exact gate accepts a minimal trusted intent and discards sender claims. Its itemId validation is type-only and has no explicit length or format bound.</w:t>
      </w:r>
    </w:p>
    <w:p>
      <w:pPr>
        <w:ind w:firstLine="0"/>
      </w:pPr>
      <w:r>
        <w:rPr>
          <w:b/>
        </w:rPr>
        <w:t xml:space="preserve">Evidence boundary. </w:t>
      </w:r>
      <w:r>
        <w:t>Exact source anchor plus bounded comparator.</w:t>
      </w:r>
    </w:p>
    <w:p>
      <w:pPr>
        <w:pStyle w:val="Heading2"/>
      </w:pPr>
      <w:r>
        <w:t>26. Origin is not user authorization</w:t>
      </w:r>
    </w:p>
    <w:p>
      <w:r>
        <w:t>Origin is not user authorisation. It identifies a document origin, not an authenticated principal or permission decision.</w:t>
      </w:r>
    </w:p>
    <w:p>
      <w:pPr>
        <w:ind w:firstLine="0"/>
      </w:pPr>
      <w:r>
        <w:rPr>
          <w:b/>
        </w:rPr>
        <w:t xml:space="preserve">Evidence boundary. </w:t>
      </w:r>
      <w:r>
        <w:t>No identity provider or session.</w:t>
      </w:r>
    </w:p>
    <w:p>
      <w:pPr>
        <w:pStyle w:val="Heading2"/>
      </w:pPr>
      <w:r>
        <w:t>27. Iframes isolate document/global/navigation</w:t>
      </w:r>
    </w:p>
    <w:p>
      <w:r>
        <w:t>An iframe isolates document, global object and navigation. Isolation also introduces coordination, readiness and recovery costs.</w:t>
      </w:r>
    </w:p>
    <w:p>
      <w:pPr>
        <w:ind w:firstLine="0"/>
      </w:pPr>
      <w:r>
        <w:rPr>
          <w:b/>
        </w:rPr>
        <w:t xml:space="preserve">Evidence boundary. </w:t>
      </w:r>
      <w:r>
        <w:t>No iframe rendered.</w:t>
      </w:r>
    </w:p>
    <w:p>
      <w:pPr>
        <w:pStyle w:val="Heading2"/>
      </w:pPr>
      <w:r>
        <w:t>28. The parent shell owns cross-fragment state</w:t>
      </w:r>
    </w:p>
    <w:p>
      <w:r>
        <w:t>The parent shell owns state shared across fragments and should accept only typed intents rather than arbitrary child mutation.</w:t>
      </w:r>
    </w:p>
    <w:p>
      <w:pPr>
        <w:ind w:firstLine="0"/>
      </w:pPr>
      <w:r>
        <w:rPr>
          <w:b/>
        </w:rPr>
        <w:t xml:space="preserve">Evidence boundary. </w:t>
      </w:r>
      <w:r>
        <w:t>Composition model only.</w:t>
      </w:r>
    </w:p>
    <w:p>
      <w:pPr>
        <w:pStyle w:val="Heading2"/>
      </w:pPr>
      <w:r>
        <w:t>29. Readiness is protocol state</w:t>
      </w:r>
    </w:p>
    <w:p>
      <w:r>
        <w:t>Readiness is protocol state. A frame document can exist before it is ready to receive a command.</w:t>
      </w:r>
    </w:p>
    <w:p>
      <w:pPr>
        <w:ind w:firstLine="0"/>
      </w:pPr>
      <w:r>
        <w:rPr>
          <w:b/>
        </w:rPr>
        <w:t xml:space="preserve">Evidence boundary. </w:t>
      </w:r>
      <w:r>
        <w:t>No frame load or ready event observed.</w:t>
      </w:r>
    </w:p>
    <w:p>
      <w:pPr>
        <w:pStyle w:val="Heading2"/>
      </w:pPr>
      <w:r>
        <w:t>30. Replacement creates a generation</w:t>
      </w:r>
    </w:p>
    <w:p>
      <w:r>
        <w:t>Replacement creates a new generation. Late messages from an old document must not activate or consume current state.</w:t>
      </w:r>
    </w:p>
    <w:p>
      <w:pPr>
        <w:ind w:firstLine="0"/>
      </w:pPr>
      <w:r>
        <w:rPr>
          <w:b/>
        </w:rPr>
        <w:t xml:space="preserve">Evidence boundary. </w:t>
      </w:r>
      <w:r>
        <w:t>Generation does not replace origin validation.</w:t>
      </w:r>
    </w:p>
    <w:p>
      <w:pPr>
        <w:pStyle w:val="Heading2"/>
      </w:pPr>
      <w:r>
        <w:t>31. Worked example — frame generation gate</w:t>
      </w:r>
    </w:p>
    <w:p>
      <w:r>
        <w:t>The exact example demonstrates current-generation readiness. It checks source and generation, but not event.origin.</w:t>
      </w:r>
    </w:p>
    <w:p>
      <w:pPr>
        <w:ind w:firstLine="0"/>
      </w:pPr>
      <w:r>
        <w:rPr>
          <w:b/>
        </w:rPr>
        <w:t xml:space="preserve">Evidence boundary. </w:t>
      </w:r>
      <w:r>
        <w:t>Generation-only example, not a complete trust gate.</w:t>
      </w:r>
    </w:p>
    <w:p>
      <w:pPr>
        <w:pStyle w:val="Heading2"/>
      </w:pPr>
      <w:r>
        <w:t>32. Composition has organizational cost</w:t>
      </w:r>
    </w:p>
    <w:p>
      <w:r>
        <w:t>Composition increases operational, testing and ownership costs. It needs an organisational reason, not only a technical possibility.</w:t>
      </w:r>
    </w:p>
    <w:p>
      <w:pPr>
        <w:ind w:firstLine="0"/>
      </w:pPr>
      <w:r>
        <w:rPr>
          <w:b/>
        </w:rPr>
        <w:t xml:space="preserve">Evidence boundary. </w:t>
      </w:r>
      <w:r>
        <w:t>No multi-origin system is deployed.</w:t>
      </w:r>
    </w:p>
    <w:p>
      <w:pPr>
        <w:pStyle w:val="Heading2"/>
      </w:pPr>
      <w:r>
        <w:t>33. Use composition only for real ownership/isolation</w:t>
      </w:r>
    </w:p>
    <w:p>
      <w:r>
        <w:t>Use composition when ownership or isolation requirements justify it. Prefer a simpler single application when they do not.</w:t>
      </w:r>
    </w:p>
    <w:p>
      <w:pPr>
        <w:ind w:firstLine="0"/>
      </w:pPr>
      <w:r>
        <w:rPr>
          <w:b/>
        </w:rPr>
        <w:t xml:space="preserve">Evidence boundary. </w:t>
      </w:r>
      <w:r>
        <w:t>Decision framework, not a universal ban.</w:t>
      </w:r>
    </w:p>
    <w:p>
      <w:pPr>
        <w:pStyle w:val="Heading2"/>
      </w:pPr>
      <w:r>
        <w:t>34. Lifecycle ownership is correctness</w:t>
      </w:r>
    </w:p>
    <w:p>
      <w:r>
        <w:t>Lifecycle ownership is correctness: listeners, pending requests, frames, workers and generations need terminal cleanup.</w:t>
      </w:r>
    </w:p>
    <w:p>
      <w:pPr>
        <w:ind w:firstLine="0"/>
      </w:pPr>
      <w:r>
        <w:rPr>
          <w:b/>
        </w:rPr>
        <w:t xml:space="preserve">Evidence boundary. </w:t>
      </w:r>
      <w:r>
        <w:t>No browser resource counts measured.</w:t>
      </w:r>
    </w:p>
    <w:p>
      <w:pPr>
        <w:pStyle w:val="Heading1"/>
      </w:pPr>
      <w:r>
        <w:t>Project roles for Week 13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14"/>
            <w:vAlign w:val="center"/>
            <w:shd w:fill="D9EAF7"/>
          </w:tcPr>
          <w:p>
            <w:pPr>
              <w:spacing w:after="0"/>
            </w:pPr>
            <w:r/>
            <w:r>
              <w:rPr>
                <w:rFonts w:ascii="Times New Roman" w:hAnsi="Times New Roman" w:eastAsia="Times New Roman"/>
                <w:b/>
                <w:sz w:val="15"/>
              </w:rPr>
              <w:t>Object</w:t>
            </w:r>
          </w:p>
        </w:tc>
        <w:tc>
          <w:tcPr>
            <w:tcW w:type="dxa" w:w="1757"/>
            <w:vAlign w:val="center"/>
            <w:shd w:fill="D9EAF7"/>
          </w:tcPr>
          <w:p>
            <w:pPr>
              <w:spacing w:after="0"/>
            </w:pPr>
            <w:r/>
            <w:r>
              <w:rPr>
                <w:rFonts w:ascii="Times New Roman" w:hAnsi="Times New Roman" w:eastAsia="Times New Roman"/>
                <w:b/>
                <w:sz w:val="15"/>
              </w:rPr>
              <w:t>Active role</w:t>
            </w:r>
          </w:p>
        </w:tc>
        <w:tc>
          <w:tcPr>
            <w:tcW w:type="dxa" w:w="3175"/>
            <w:vAlign w:val="center"/>
            <w:shd w:fill="D9EAF7"/>
          </w:tcPr>
          <w:p>
            <w:pPr>
              <w:spacing w:after="0"/>
            </w:pPr>
            <w:r/>
            <w:r>
              <w:rPr>
                <w:rFonts w:ascii="Times New Roman" w:hAnsi="Times New Roman" w:eastAsia="Times New Roman"/>
                <w:b/>
                <w:sz w:val="15"/>
              </w:rPr>
              <w:t>Required contribution</w:t>
            </w:r>
          </w:p>
        </w:tc>
        <w:tc>
          <w:tcPr>
            <w:tcW w:type="dxa" w:w="2835"/>
            <w:vAlign w:val="center"/>
            <w:shd w:fill="D9EAF7"/>
          </w:tcPr>
          <w:p>
            <w:pPr>
              <w:spacing w:after="0"/>
            </w:pPr>
            <w:r/>
            <w:r>
              <w:rPr>
                <w:rFonts w:ascii="Times New Roman" w:hAnsi="Times New Roman" w:eastAsia="Times New Roman"/>
                <w:b/>
                <w:sz w:val="15"/>
              </w:rPr>
              <w:t>Not silently required</w:t>
            </w:r>
          </w:p>
        </w:tc>
      </w:tr>
      <w:tr>
        <w:tc>
          <w:tcPr>
            <w:tcW w:type="dxa" w:w="1814"/>
            <w:vAlign w:val="center"/>
          </w:tcPr>
          <w:p>
            <w:pPr>
              <w:spacing w:after="0"/>
            </w:pPr>
            <w:r/>
            <w:r>
              <w:rPr>
                <w:rFonts w:ascii="Times New Roman" w:hAnsi="Times New Roman" w:eastAsia="Times New Roman"/>
                <w:b w:val="0"/>
                <w:sz w:val="15"/>
              </w:rPr>
              <w:t>P01 Worker Offload</w:t>
            </w:r>
          </w:p>
        </w:tc>
        <w:tc>
          <w:tcPr>
            <w:tcW w:type="dxa" w:w="1757"/>
            <w:vAlign w:val="center"/>
          </w:tcPr>
          <w:p>
            <w:pPr>
              <w:spacing w:after="0"/>
            </w:pPr>
            <w:r/>
            <w:r>
              <w:rPr>
                <w:rFonts w:ascii="Times New Roman" w:hAnsi="Times New Roman" w:eastAsia="Times New Roman"/>
                <w:b w:val="0"/>
                <w:sz w:val="15"/>
              </w:rPr>
              <w:t>Central implementation</w:t>
            </w:r>
          </w:p>
        </w:tc>
        <w:tc>
          <w:tcPr>
            <w:tcW w:type="dxa" w:w="3175"/>
            <w:vAlign w:val="center"/>
          </w:tcPr>
          <w:p>
            <w:pPr>
              <w:spacing w:after="0"/>
            </w:pPr>
            <w:r/>
            <w:r>
              <w:rPr>
                <w:rFonts w:ascii="Times New Roman" w:hAnsi="Times New Roman" w:eastAsia="Times New Roman"/>
                <w:b w:val="0"/>
                <w:sz w:val="15"/>
              </w:rPr>
              <w:t>Complete student/src/worker-client.js and lifecycle evidence</w:t>
            </w:r>
          </w:p>
        </w:tc>
        <w:tc>
          <w:tcPr>
            <w:tcW w:type="dxa" w:w="2835"/>
            <w:vAlign w:val="center"/>
          </w:tcPr>
          <w:p>
            <w:pPr>
              <w:spacing w:after="0"/>
            </w:pPr>
            <w:r/>
            <w:r>
              <w:rPr>
                <w:rFonts w:ascii="Times New Roman" w:hAnsi="Times New Roman" w:eastAsia="Times New Roman"/>
                <w:b w:val="0"/>
                <w:sz w:val="15"/>
              </w:rPr>
              <w:t>Browser responsiveness inferred from a fake worker</w:t>
            </w:r>
          </w:p>
        </w:tc>
      </w:tr>
      <w:tr>
        <w:tc>
          <w:tcPr>
            <w:tcW w:type="dxa" w:w="1814"/>
            <w:vAlign w:val="center"/>
          </w:tcPr>
          <w:p>
            <w:pPr>
              <w:spacing w:after="0"/>
            </w:pPr>
            <w:r/>
            <w:r>
              <w:rPr>
                <w:rFonts w:ascii="Times New Roman" w:hAnsi="Times New Roman" w:eastAsia="Times New Roman"/>
                <w:b w:val="0"/>
                <w:sz w:val="15"/>
              </w:rPr>
              <w:t>P02 Service Worker Request Dispatcher</w:t>
            </w:r>
          </w:p>
        </w:tc>
        <w:tc>
          <w:tcPr>
            <w:tcW w:type="dxa" w:w="1757"/>
            <w:vAlign w:val="center"/>
          </w:tcPr>
          <w:p>
            <w:pPr>
              <w:spacing w:after="0"/>
            </w:pPr>
            <w:r/>
            <w:r>
              <w:rPr>
                <w:rFonts w:ascii="Times New Roman" w:hAnsi="Times New Roman" w:eastAsia="Times New Roman"/>
                <w:b w:val="0"/>
                <w:sz w:val="15"/>
              </w:rPr>
              <w:t>Guided demonstration</w:t>
            </w:r>
          </w:p>
        </w:tc>
        <w:tc>
          <w:tcPr>
            <w:tcW w:type="dxa" w:w="3175"/>
            <w:vAlign w:val="center"/>
          </w:tcPr>
          <w:p>
            <w:pPr>
              <w:spacing w:after="0"/>
            </w:pPr>
            <w:r/>
            <w:r>
              <w:rPr>
                <w:rFonts w:ascii="Times New Roman" w:hAnsi="Times New Roman" w:eastAsia="Times New Roman"/>
                <w:b w:val="0"/>
                <w:sz w:val="15"/>
              </w:rPr>
              <w:t>Registered, ready, controlled and direct-path trace</w:t>
            </w:r>
          </w:p>
        </w:tc>
        <w:tc>
          <w:tcPr>
            <w:tcW w:type="dxa" w:w="2835"/>
            <w:vAlign w:val="center"/>
          </w:tcPr>
          <w:p>
            <w:pPr>
              <w:spacing w:after="0"/>
            </w:pPr>
            <w:r/>
            <w:r>
              <w:rPr>
                <w:rFonts w:ascii="Times New Roman" w:hAnsi="Times New Roman" w:eastAsia="Times New Roman"/>
                <w:b w:val="0"/>
                <w:sz w:val="15"/>
              </w:rPr>
              <w:t>Full Service Worker implementation in S13</w:t>
            </w:r>
          </w:p>
        </w:tc>
      </w:tr>
      <w:tr>
        <w:tc>
          <w:tcPr>
            <w:tcW w:type="dxa" w:w="1814"/>
            <w:vAlign w:val="center"/>
          </w:tcPr>
          <w:p>
            <w:pPr>
              <w:spacing w:after="0"/>
            </w:pPr>
            <w:r/>
            <w:r>
              <w:rPr>
                <w:rFonts w:ascii="Times New Roman" w:hAnsi="Times New Roman" w:eastAsia="Times New Roman"/>
                <w:b w:val="0"/>
                <w:sz w:val="15"/>
              </w:rPr>
              <w:t>P03 Composable Shell</w:t>
            </w:r>
          </w:p>
        </w:tc>
        <w:tc>
          <w:tcPr>
            <w:tcW w:type="dxa" w:w="1757"/>
            <w:vAlign w:val="center"/>
          </w:tcPr>
          <w:p>
            <w:pPr>
              <w:spacing w:after="0"/>
            </w:pPr>
            <w:r/>
            <w:r>
              <w:rPr>
                <w:rFonts w:ascii="Times New Roman" w:hAnsi="Times New Roman" w:eastAsia="Times New Roman"/>
                <w:b w:val="0"/>
                <w:sz w:val="15"/>
              </w:rPr>
              <w:t>Optional advanced</w:t>
            </w:r>
          </w:p>
        </w:tc>
        <w:tc>
          <w:tcPr>
            <w:tcW w:type="dxa" w:w="3175"/>
            <w:vAlign w:val="center"/>
          </w:tcPr>
          <w:p>
            <w:pPr>
              <w:spacing w:after="0"/>
            </w:pPr>
            <w:r/>
            <w:r>
              <w:rPr>
                <w:rFonts w:ascii="Times New Roman" w:hAnsi="Times New Roman" w:eastAsia="Times New Roman"/>
                <w:b w:val="0"/>
                <w:sz w:val="15"/>
              </w:rPr>
              <w:t>Architecture discussion when relevant</w:t>
            </w:r>
          </w:p>
        </w:tc>
        <w:tc>
          <w:tcPr>
            <w:tcW w:type="dxa" w:w="2835"/>
            <w:vAlign w:val="center"/>
          </w:tcPr>
          <w:p>
            <w:pPr>
              <w:spacing w:after="0"/>
            </w:pPr>
            <w:r/>
            <w:r>
              <w:rPr>
                <w:rFonts w:ascii="Times New Roman" w:hAnsi="Times New Roman" w:eastAsia="Times New Roman"/>
                <w:b w:val="0"/>
                <w:sz w:val="15"/>
              </w:rPr>
              <w:t>Multi-origin deployment or hidden marking criterion</w:t>
            </w:r>
          </w:p>
        </w:tc>
      </w:tr>
      <w:tr>
        <w:tc>
          <w:tcPr>
            <w:tcW w:type="dxa" w:w="1814"/>
            <w:vAlign w:val="center"/>
          </w:tcPr>
          <w:p>
            <w:pPr>
              <w:spacing w:after="0"/>
            </w:pPr>
            <w:r/>
            <w:r>
              <w:rPr>
                <w:rFonts w:ascii="Times New Roman" w:hAnsi="Times New Roman" w:eastAsia="Times New Roman"/>
                <w:b w:val="0"/>
                <w:sz w:val="15"/>
              </w:rPr>
              <w:t>U14-P01 Regression Harness</w:t>
            </w:r>
          </w:p>
        </w:tc>
        <w:tc>
          <w:tcPr>
            <w:tcW w:type="dxa" w:w="1757"/>
            <w:vAlign w:val="center"/>
          </w:tcPr>
          <w:p>
            <w:pPr>
              <w:spacing w:after="0"/>
            </w:pPr>
            <w:r/>
            <w:r>
              <w:rPr>
                <w:rFonts w:ascii="Times New Roman" w:hAnsi="Times New Roman" w:eastAsia="Times New Roman"/>
                <w:b w:val="0"/>
                <w:sz w:val="15"/>
              </w:rPr>
              <w:t>Required portfolio launch</w:t>
            </w:r>
          </w:p>
        </w:tc>
        <w:tc>
          <w:tcPr>
            <w:tcW w:type="dxa" w:w="3175"/>
            <w:vAlign w:val="center"/>
          </w:tcPr>
          <w:p>
            <w:pPr>
              <w:spacing w:after="0"/>
            </w:pPr>
            <w:r/>
            <w:r>
              <w:rPr>
                <w:rFonts w:ascii="Times New Roman" w:hAnsi="Times New Roman" w:eastAsia="Times New Roman"/>
                <w:b w:val="0"/>
                <w:sz w:val="15"/>
              </w:rPr>
              <w:t>Identity, target, initial matrix, mutation candidate and outstanding work</w:t>
            </w:r>
          </w:p>
        </w:tc>
        <w:tc>
          <w:tcPr>
            <w:tcW w:type="dxa" w:w="2835"/>
            <w:vAlign w:val="center"/>
          </w:tcPr>
          <w:p>
            <w:pPr>
              <w:spacing w:after="0"/>
            </w:pPr>
            <w:r/>
            <w:r>
              <w:rPr>
                <w:rFonts w:ascii="Times New Roman" w:hAnsi="Times New Roman" w:eastAsia="Times New Roman"/>
                <w:b w:val="0"/>
                <w:sz w:val="15"/>
              </w:rPr>
              <w:t>Completion in the five-minute hand-off</w:t>
            </w:r>
          </w:p>
        </w:tc>
      </w:tr>
    </w:tbl>
    <w:p>
      <w:pPr>
        <w:spacing w:after="0"/>
      </w:pPr>
    </w:p>
    <w:p>
      <w:pPr>
        <w:pStyle w:val="Heading1"/>
      </w:pPr>
      <w:r>
        <w:t>Source-specific limits to retain</w:t>
      </w:r>
    </w:p>
    <w:p>
      <w:pPr>
        <w:pStyle w:val="ListNumber"/>
        <w:ind w:firstLine="0" w:left="340"/>
      </w:pPr>
      <w:r>
        <w:t>Storage API access errors are distinct from JSON parsing and record validation.</w:t>
      </w:r>
    </w:p>
    <w:p>
      <w:pPr>
        <w:pStyle w:val="ListNumber"/>
        <w:ind w:firstLine="0" w:left="340"/>
      </w:pPr>
      <w:r>
        <w:t>The clone example is a one-request clone boundary, not a complete Worker protocol.</w:t>
      </w:r>
    </w:p>
    <w:p>
      <w:pPr>
        <w:pStyle w:val="ListNumber"/>
        <w:ind w:firstLine="0" w:left="340"/>
      </w:pPr>
      <w:r>
        <w:t>The Service Worker example can message registration.active even when the page has no controller.</w:t>
      </w:r>
    </w:p>
    <w:p>
      <w:pPr>
        <w:pStyle w:val="ListNumber"/>
        <w:ind w:firstLine="0" w:left="340"/>
      </w:pPr>
      <w:r>
        <w:t>The message-gate decoy is same-origin and mainly demonstrates wrong-source rejection.</w:t>
      </w:r>
    </w:p>
    <w:p>
      <w:pPr>
        <w:pStyle w:val="ListNumber"/>
        <w:ind w:firstLine="0" w:left="340"/>
      </w:pPr>
      <w:r>
        <w:t>The generation example checks source and generation, not origin.</w:t>
      </w:r>
    </w:p>
    <w:p>
      <w:pPr>
        <w:pStyle w:val="ListNumber"/>
        <w:ind w:firstLine="0" w:left="340"/>
      </w:pPr>
      <w:r>
        <w:t>P01, P02 and P03 limits remain documented and are not silently repaired in this public course package.</w:t>
      </w:r>
    </w:p>
    <w:p>
      <w:pPr>
        <w:pStyle w:val="ListNumber"/>
        <w:ind w:firstLine="0" w:left="340"/>
      </w:pPr>
      <w:r>
        <w:t>Regression Harness is only launched in S13 and its tests are not executed in C13.</w:t>
      </w:r>
    </w:p>
    <w:p>
      <w:pPr>
        <w:pStyle w:val="Heading1"/>
      </w:pPr>
      <w:r>
        <w:t>Evidence ladder</w:t>
      </w:r>
    </w:p>
    <w:tbl>
      <w:tblPr>
        <w:tblStyle w:val="TableGrid"/>
        <w:tblW w:type="auto" w:w="0"/>
        <w:jc w:val="center"/>
        <w:tblLook w:firstColumn="1" w:firstRow="1" w:lastColumn="0" w:lastRow="0" w:noHBand="0" w:noVBand="1" w:val="04A0"/>
      </w:tblPr>
      <w:tblGrid>
        <w:gridCol w:w="3213"/>
        <w:gridCol w:w="3213"/>
        <w:gridCol w:w="3213"/>
      </w:tblGrid>
      <w:tr>
        <w:tc>
          <w:tcPr>
            <w:tcW w:type="dxa" w:w="1928"/>
            <w:vAlign w:val="center"/>
            <w:shd w:fill="D9EAF7"/>
          </w:tcPr>
          <w:p>
            <w:pPr>
              <w:spacing w:after="0"/>
            </w:pPr>
            <w:r/>
            <w:r>
              <w:rPr>
                <w:rFonts w:ascii="Times New Roman" w:hAnsi="Times New Roman" w:eastAsia="Times New Roman"/>
                <w:b/>
                <w:sz w:val="17"/>
              </w:rPr>
              <w:t>Class</w:t>
            </w:r>
          </w:p>
        </w:tc>
        <w:tc>
          <w:tcPr>
            <w:tcW w:type="dxa" w:w="3402"/>
            <w:vAlign w:val="center"/>
            <w:shd w:fill="D9EAF7"/>
          </w:tcPr>
          <w:p>
            <w:pPr>
              <w:spacing w:after="0"/>
            </w:pPr>
            <w:r/>
            <w:r>
              <w:rPr>
                <w:rFonts w:ascii="Times New Roman" w:hAnsi="Times New Roman" w:eastAsia="Times New Roman"/>
                <w:b/>
                <w:sz w:val="17"/>
              </w:rPr>
              <w:t>Can support</w:t>
            </w:r>
          </w:p>
        </w:tc>
        <w:tc>
          <w:tcPr>
            <w:tcW w:type="dxa" w:w="3402"/>
            <w:vAlign w:val="center"/>
            <w:shd w:fill="D9EAF7"/>
          </w:tcPr>
          <w:p>
            <w:pPr>
              <w:spacing w:after="0"/>
            </w:pPr>
            <w:r/>
            <w:r>
              <w:rPr>
                <w:rFonts w:ascii="Times New Roman" w:hAnsi="Times New Roman" w:eastAsia="Times New Roman"/>
                <w:b/>
                <w:sz w:val="17"/>
              </w:rPr>
              <w:t>Cannot support</w:t>
            </w:r>
          </w:p>
        </w:tc>
      </w:tr>
      <w:tr>
        <w:tc>
          <w:tcPr>
            <w:tcW w:type="dxa" w:w="1928"/>
            <w:vAlign w:val="center"/>
          </w:tcPr>
          <w:p>
            <w:pPr>
              <w:spacing w:after="0"/>
            </w:pPr>
            <w:r/>
            <w:r>
              <w:rPr>
                <w:rFonts w:ascii="Times New Roman" w:hAnsi="Times New Roman" w:eastAsia="Times New Roman"/>
                <w:b w:val="0"/>
                <w:sz w:val="17"/>
              </w:rPr>
              <w:t>Source identity</w:t>
            </w:r>
          </w:p>
        </w:tc>
        <w:tc>
          <w:tcPr>
            <w:tcW w:type="dxa" w:w="3402"/>
            <w:vAlign w:val="center"/>
          </w:tcPr>
          <w:p>
            <w:pPr>
              <w:spacing w:after="0"/>
            </w:pPr>
            <w:r/>
            <w:r>
              <w:rPr>
                <w:rFonts w:ascii="Times New Roman" w:hAnsi="Times New Roman" w:eastAsia="Times New Roman"/>
                <w:b w:val="0"/>
                <w:sz w:val="17"/>
              </w:rPr>
              <w:t>Exact bytes and contract wording</w:t>
            </w:r>
          </w:p>
        </w:tc>
        <w:tc>
          <w:tcPr>
            <w:tcW w:type="dxa" w:w="3402"/>
            <w:vAlign w:val="center"/>
          </w:tcPr>
          <w:p>
            <w:pPr>
              <w:spacing w:after="0"/>
            </w:pPr>
            <w:r/>
            <w:r>
              <w:rPr>
                <w:rFonts w:ascii="Times New Roman" w:hAnsi="Times New Roman" w:eastAsia="Times New Roman"/>
                <w:b w:val="0"/>
                <w:sz w:val="17"/>
              </w:rPr>
              <w:t>Runtime behaviour</w:t>
            </w:r>
          </w:p>
        </w:tc>
      </w:tr>
      <w:tr>
        <w:tc>
          <w:tcPr>
            <w:tcW w:type="dxa" w:w="1928"/>
            <w:vAlign w:val="center"/>
          </w:tcPr>
          <w:p>
            <w:pPr>
              <w:spacing w:after="0"/>
            </w:pPr>
            <w:r/>
            <w:r>
              <w:rPr>
                <w:rFonts w:ascii="Times New Roman" w:hAnsi="Times New Roman" w:eastAsia="Times New Roman"/>
                <w:b w:val="0"/>
                <w:sz w:val="17"/>
              </w:rPr>
              <w:t>Pure JavaScript/helper</w:t>
            </w:r>
          </w:p>
        </w:tc>
        <w:tc>
          <w:tcPr>
            <w:tcW w:type="dxa" w:w="3402"/>
            <w:vAlign w:val="center"/>
          </w:tcPr>
          <w:p>
            <w:pPr>
              <w:spacing w:after="0"/>
            </w:pPr>
            <w:r/>
            <w:r>
              <w:rPr>
                <w:rFonts w:ascii="Times New Roman" w:hAnsi="Times New Roman" w:eastAsia="Times New Roman"/>
                <w:b w:val="0"/>
                <w:sz w:val="17"/>
              </w:rPr>
              <w:t>Deterministic transformation and finite-state results</w:t>
            </w:r>
          </w:p>
        </w:tc>
        <w:tc>
          <w:tcPr>
            <w:tcW w:type="dxa" w:w="3402"/>
            <w:vAlign w:val="center"/>
          </w:tcPr>
          <w:p>
            <w:pPr>
              <w:spacing w:after="0"/>
            </w:pPr>
            <w:r/>
            <w:r>
              <w:rPr>
                <w:rFonts w:ascii="Times New Roman" w:hAnsi="Times New Roman" w:eastAsia="Times New Roman"/>
                <w:b w:val="0"/>
                <w:sz w:val="17"/>
              </w:rPr>
              <w:t>Worker, Service Worker or browser semantics</w:t>
            </w:r>
          </w:p>
        </w:tc>
      </w:tr>
      <w:tr>
        <w:tc>
          <w:tcPr>
            <w:tcW w:type="dxa" w:w="1928"/>
            <w:vAlign w:val="center"/>
          </w:tcPr>
          <w:p>
            <w:pPr>
              <w:spacing w:after="0"/>
            </w:pPr>
            <w:r/>
            <w:r>
              <w:rPr>
                <w:rFonts w:ascii="Times New Roman" w:hAnsi="Times New Roman" w:eastAsia="Times New Roman"/>
                <w:b w:val="0"/>
                <w:sz w:val="17"/>
              </w:rPr>
              <w:t>Fake endpoint or event</w:t>
            </w:r>
          </w:p>
        </w:tc>
        <w:tc>
          <w:tcPr>
            <w:tcW w:type="dxa" w:w="3402"/>
            <w:vAlign w:val="center"/>
          </w:tcPr>
          <w:p>
            <w:pPr>
              <w:spacing w:after="0"/>
            </w:pPr>
            <w:r/>
            <w:r>
              <w:rPr>
                <w:rFonts w:ascii="Times New Roman" w:hAnsi="Times New Roman" w:eastAsia="Times New Roman"/>
                <w:b w:val="0"/>
                <w:sz w:val="17"/>
              </w:rPr>
              <w:t>Protocol behaviour under the declared fake</w:t>
            </w:r>
          </w:p>
        </w:tc>
        <w:tc>
          <w:tcPr>
            <w:tcW w:type="dxa" w:w="3402"/>
            <w:vAlign w:val="center"/>
          </w:tcPr>
          <w:p>
            <w:pPr>
              <w:spacing w:after="0"/>
            </w:pPr>
            <w:r/>
            <w:r>
              <w:rPr>
                <w:rFonts w:ascii="Times New Roman" w:hAnsi="Times New Roman" w:eastAsia="Times New Roman"/>
                <w:b w:val="0"/>
                <w:sz w:val="17"/>
              </w:rPr>
              <w:t>Native scheduling, navigation or origin topology</w:t>
            </w:r>
          </w:p>
        </w:tc>
      </w:tr>
      <w:tr>
        <w:tc>
          <w:tcPr>
            <w:tcW w:type="dxa" w:w="1928"/>
            <w:vAlign w:val="center"/>
          </w:tcPr>
          <w:p>
            <w:pPr>
              <w:spacing w:after="0"/>
            </w:pPr>
            <w:r/>
            <w:r>
              <w:rPr>
                <w:rFonts w:ascii="Times New Roman" w:hAnsi="Times New Roman" w:eastAsia="Times New Roman"/>
                <w:b w:val="0"/>
                <w:sz w:val="17"/>
              </w:rPr>
              <w:t>Real browser run</w:t>
            </w:r>
          </w:p>
        </w:tc>
        <w:tc>
          <w:tcPr>
            <w:tcW w:type="dxa" w:w="3402"/>
            <w:vAlign w:val="center"/>
          </w:tcPr>
          <w:p>
            <w:pPr>
              <w:spacing w:after="0"/>
            </w:pPr>
            <w:r/>
            <w:r>
              <w:rPr>
                <w:rFonts w:ascii="Times New Roman" w:hAnsi="Times New Roman" w:eastAsia="Times New Roman"/>
                <w:b w:val="0"/>
                <w:sz w:val="17"/>
              </w:rPr>
              <w:t>Behaviour in one qualified environment</w:t>
            </w:r>
          </w:p>
        </w:tc>
        <w:tc>
          <w:tcPr>
            <w:tcW w:type="dxa" w:w="3402"/>
            <w:vAlign w:val="center"/>
          </w:tcPr>
          <w:p>
            <w:pPr>
              <w:spacing w:after="0"/>
            </w:pPr>
            <w:r/>
            <w:r>
              <w:rPr>
                <w:rFonts w:ascii="Times New Roman" w:hAnsi="Times New Roman" w:eastAsia="Times New Roman"/>
                <w:b w:val="0"/>
                <w:sz w:val="17"/>
              </w:rPr>
              <w:t>Universal compatibility or production reliability</w:t>
            </w:r>
          </w:p>
        </w:tc>
      </w:tr>
      <w:tr>
        <w:tc>
          <w:tcPr>
            <w:tcW w:type="dxa" w:w="1928"/>
            <w:vAlign w:val="center"/>
          </w:tcPr>
          <w:p>
            <w:pPr>
              <w:spacing w:after="0"/>
            </w:pPr>
            <w:r/>
            <w:r>
              <w:rPr>
                <w:rFonts w:ascii="Times New Roman" w:hAnsi="Times New Roman" w:eastAsia="Times New Roman"/>
                <w:b w:val="0"/>
                <w:sz w:val="17"/>
              </w:rPr>
              <w:t>Platform acceptance</w:t>
            </w:r>
          </w:p>
        </w:tc>
        <w:tc>
          <w:tcPr>
            <w:tcW w:type="dxa" w:w="3402"/>
            <w:vAlign w:val="center"/>
          </w:tcPr>
          <w:p>
            <w:pPr>
              <w:spacing w:after="0"/>
            </w:pPr>
            <w:r/>
            <w:r>
              <w:rPr>
                <w:rFonts w:ascii="Times New Roman" w:hAnsi="Times New Roman" w:eastAsia="Times New Roman"/>
                <w:b w:val="0"/>
                <w:sz w:val="17"/>
              </w:rPr>
              <w:t>Native interaction and document behaviour</w:t>
            </w:r>
          </w:p>
        </w:tc>
        <w:tc>
          <w:tcPr>
            <w:tcW w:type="dxa" w:w="3402"/>
            <w:vAlign w:val="center"/>
          </w:tcPr>
          <w:p>
            <w:pPr>
              <w:spacing w:after="0"/>
            </w:pPr>
            <w:r/>
            <w:r>
              <w:rPr>
                <w:rFonts w:ascii="Times New Roman" w:hAnsi="Times New Roman" w:eastAsia="Times New Roman"/>
                <w:b w:val="0"/>
                <w:sz w:val="17"/>
              </w:rPr>
              <w:t>Security or correctness beyond the tested scope</w:t>
            </w:r>
          </w:p>
        </w:tc>
      </w:tr>
    </w:tbl>
    <w:p>
      <w:pPr>
        <w:spacing w:after="0"/>
      </w:pPr>
    </w:p>
    <w:p>
      <w:pPr>
        <w:pStyle w:val="Heading1"/>
      </w:pPr>
      <w:r>
        <w:t>Final retrieval</w:t>
      </w:r>
    </w:p>
    <w:p>
      <w:r>
        <w:t>Before leaving C13, record one owner, one lifecycle invariant, one actual or pending witness and one untested boundary. Stop at minute 60. The reserved 30 minutes are not overflow.</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WEB TECHNOLOGIES · ASE · 60-minute content limit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C13 handout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60"/>
      <w:ind w:firstLine="34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C13 Handout</dc:title>
  <dc:subject>TEHNOLOGII WEB 2026</dc:subject>
  <dc:creator>ASE Web Technologies teaching package</dc:creator>
  <cp:keywords>C13, browser composition, Worker, Service Worker, iframe, WIP/PREVIEW</cp:keywords>
  <dc:description>generated by python-docx</dc:description>
  <cp:lastModifiedBy/>
  <cp:revision>1</cp:revision>
  <dcterms:created xsi:type="dcterms:W3CDTF">2013-12-23T23:15:00Z</dcterms:created>
  <dcterms:modified xsi:type="dcterms:W3CDTF">2013-12-23T23:15:00Z</dcterms:modified>
  <cp:category/>
</cp:coreProperties>
</file>