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S01 — Individual transfer</w:t>
      </w:r>
    </w:p>
    <w:p>
      <w:pPr>
        <w:spacing w:after="200"/>
      </w:pPr>
      <w:r>
        <w:t>Complete unfinished core evidence first; preserve the two-file edit boundary.</w:t>
      </w:r>
    </w:p>
    <w:p>
      <w:pPr>
        <w:pStyle w:val="Heading1"/>
      </w:pPr>
      <w:r>
        <w:t>1. Explain the observed contract</w:t>
      </w:r>
    </w:p>
    <w:p>
      <w:pPr>
        <w:spacing w:after="40"/>
      </w:pPr>
      <w:r>
        <w:rPr>
          <w:b/>
        </w:rPr>
        <w:t>Explain why one click produced three exchanges.</w:t>
      </w:r>
    </w:p>
    <w:p>
      <w:pPr>
        <w:spacing w:after="40"/>
      </w:pPr>
      <w:r>
        <w:br/>
        <w:br/>
      </w:r>
    </w:p>
    <w:p>
      <w:pPr>
        <w:spacing w:after="40"/>
      </w:pPr>
      <w:r>
        <w:rPr>
          <w:b/>
        </w:rPr>
        <w:t>Contrast GET query data with POST body data.</w:t>
      </w:r>
    </w:p>
    <w:p>
      <w:pPr>
        <w:spacing w:after="40"/>
      </w:pPr>
      <w:r>
        <w:br/>
        <w:br/>
      </w:r>
    </w:p>
    <w:p>
      <w:pPr>
        <w:spacing w:after="40"/>
      </w:pPr>
      <w:r>
        <w:rPr>
          <w:b/>
        </w:rPr>
        <w:t>Explain why a successful CSS fetch is insufficient evidence of style application.</w:t>
      </w:r>
    </w:p>
    <w:p>
      <w:pPr>
        <w:spacing w:after="40"/>
      </w:pPr>
      <w:r>
        <w:br/>
        <w:br/>
      </w:r>
    </w:p>
    <w:p>
      <w:pPr>
        <w:pStyle w:val="Heading1"/>
      </w:pPr>
      <w:r>
        <w:t>2. Compare prediction with observation</w:t>
      </w:r>
    </w:p>
    <w:p>
      <w:pPr>
        <w:spacing w:after="40"/>
      </w:pPr>
      <w:r>
        <w:rPr>
          <w:b/>
        </w:rPr>
        <w:t>Choose one P02 boundary case. Keep the original prediction and explain any difference.</w:t>
      </w:r>
    </w:p>
    <w:p>
      <w:pPr>
        <w:spacing w:after="40"/>
      </w:pPr>
      <w:r>
        <w:br/>
        <w:br/>
        <w:br/>
      </w:r>
    </w:p>
    <w:p>
      <w:pPr>
        <w:pStyle w:val="Heading1"/>
      </w:pPr>
      <w:r>
        <w:t>3. A limitation that matters</w:t>
      </w:r>
    </w:p>
    <w:p>
      <w:pPr>
        <w:spacing w:after="40"/>
      </w:pPr>
      <w:r>
        <w:rPr>
          <w:b/>
        </w:rPr>
        <w:t>Why do these tests not establish production security, performance or all input behaviour?</w:t>
      </w:r>
    </w:p>
    <w:p>
      <w:pPr>
        <w:spacing w:after="40"/>
      </w:pPr>
      <w:r>
        <w:br/>
        <w:br/>
      </w:r>
    </w:p>
    <w:p>
      <w:r>
        <w:br w:type="page"/>
      </w:r>
    </w:p>
    <w:p>
      <w:pPr>
        <w:pStyle w:val="Heading1"/>
      </w:pPr>
      <w:r>
        <w:t>Critical review and final evidence</w:t>
      </w:r>
    </w:p>
    <w:p>
      <w:r>
        <w:t>Review the supplied flawed patch, not a whole assessed implementation. When Gemini is available, use the bounded prompt. Otherwise label synthetic practice, not a real interaction.</w:t>
      </w:r>
    </w:p>
    <w:p>
      <w:pPr>
        <w:spacing w:after="40"/>
      </w:pPr>
      <w:r>
        <w:rPr>
          <w:b/>
        </w:rPr>
        <w:t>Claim class: Observed / Inferred / Unknown</w:t>
      </w:r>
    </w:p>
    <w:p>
      <w:pPr>
        <w:spacing w:after="40"/>
      </w:pPr>
      <w:r>
        <w:br/>
        <w:br/>
      </w:r>
    </w:p>
    <w:p>
      <w:pPr>
        <w:spacing w:after="40"/>
      </w:pPr>
      <w:r>
        <w:rPr>
          <w:b/>
        </w:rPr>
        <w:t>Two distinguishing counterexamples and independent checks</w:t>
      </w:r>
    </w:p>
    <w:p>
      <w:pPr>
        <w:spacing w:after="40"/>
      </w:pPr>
      <w:r>
        <w:br/>
        <w:br/>
      </w:r>
    </w:p>
    <w:p>
      <w:pPr>
        <w:spacing w:after="40"/>
      </w:pPr>
      <w:r>
        <w:rPr>
          <w:b/>
        </w:rPr>
        <w:t>Verdict, correction and limitation</w:t>
      </w:r>
    </w:p>
    <w:p>
      <w:pPr>
        <w:spacing w:after="40"/>
      </w:pPr>
      <w:r>
        <w:br/>
        <w:br/>
      </w:r>
    </w:p>
    <w:p>
      <w:pPr>
        <w:spacing w:after="40"/>
      </w:pPr>
      <w:r>
        <w:rPr>
          <w:b/>
        </w:rPr>
        <w:t>Economic Informatics: traceability between a request, response and a business claim</w:t>
      </w:r>
    </w:p>
    <w:p>
      <w:pPr>
        <w:spacing w:after="40"/>
      </w:pPr>
      <w:r>
        <w:br/>
        <w:br/>
      </w:r>
    </w:p>
    <w:p>
      <w:pPr>
        <w:pStyle w:val="Heading1"/>
      </w:pPr>
      <w:r>
        <w:t>Before final submission</w:t>
      </w:r>
    </w:p>
    <w:p>
      <w:r>
        <w:t>Stop and check only your owned sessions. Confirm the whole form, export one PDF and inspect the longest answer through its final paragraph. Use TW2026_S01_GROUP_Surname_Firstname.pdf. Keep drafts outside the kit and do not upload source projects or full AI conversations.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935" w:right="992" w:bottom="935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S01 ·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sz w:val="16"/>
      </w:rPr>
      <w:t>WEB TECHNOLOGIES 2026  /  S01  /  6.1.0 FINAL LOCAL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S01 — Individual transfer</dc:title>
  <dc:subject>S01 v6.1.0 Phase 2 build candidate</dc:subject>
  <dc:creator>WebTech_ASE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