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S01 — Experiment worksheet</w:t>
      </w:r>
    </w:p>
    <w:p>
      <w:pPr>
        <w:spacing w:after="200"/>
      </w:pPr>
      <w:r>
        <w:t>HTTP Detective + Tiny HTTP Server · prospective notes, not a second Moodle submission</w:t>
      </w:r>
    </w:p>
    <w:p>
      <w:r>
        <w:t>Name: ____________________  Group: __________  Date: __________</w:t>
      </w:r>
    </w:p>
    <w:p>
      <w:pPr>
        <w:pStyle w:val="Heading1"/>
      </w:pPr>
      <w:r>
        <w:t>Before any execution</w:t>
      </w:r>
    </w:p>
    <w:p>
      <w:pPr>
        <w:spacing w:after="40"/>
      </w:pPr>
      <w:r>
        <w:rPr>
          <w:b/>
        </w:rPr>
        <w:t>Prediction 1: exchanges/methods from one click and a possible falsifier.</w:t>
      </w:r>
    </w:p>
    <w:p>
      <w:pPr>
        <w:spacing w:after="40"/>
      </w:pPr>
      <w:r>
        <w:br/>
        <w:br/>
      </w:r>
    </w:p>
    <w:p>
      <w:pPr>
        <w:spacing w:after="40"/>
      </w:pPr>
      <w:r>
        <w:rPr>
          <w:b/>
        </w:rPr>
        <w:t>Prediction 2: path greeting, encoded space, blank decoded name and extra segment.</w:t>
      </w:r>
    </w:p>
    <w:p>
      <w:pPr>
        <w:spacing w:after="40"/>
      </w:pPr>
      <w:r>
        <w:br/>
        <w:br/>
      </w:r>
    </w:p>
    <w:p>
      <w:pPr>
        <w:pStyle w:val="Heading1"/>
      </w:pPr>
      <w:r>
        <w:t>P01: evidence from the correct local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/>
        </w:trPr>
        <w:tc>
          <w:tcPr>
            <w:tcW w:type="dxa" w:w="2480"/>
            <w:shd w:fill="E5EEF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80"/>
            <w:shd w:fill="E5EEF4"/>
          </w:tcPr>
          <w:p>
            <w:r>
              <w:rPr>
                <w:b/>
              </w:rPr>
              <w:t>Stylesheet</w:t>
            </w:r>
          </w:p>
        </w:tc>
        <w:tc>
          <w:tcPr>
            <w:tcW w:type="dxa" w:w="2480"/>
            <w:shd w:fill="E5EEF4"/>
          </w:tcPr>
          <w:p>
            <w:r>
              <w:rPr>
                <w:b/>
              </w:rPr>
              <w:t>Clues</w:t>
            </w:r>
          </w:p>
        </w:tc>
        <w:tc>
          <w:tcPr>
            <w:tcW w:type="dxa" w:w="2480"/>
            <w:shd w:fill="E5EEF4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480"/>
          </w:tcPr>
          <w:p>
            <w:r>
              <w:t>Method and path</w:t>
            </w:r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</w:tr>
      <w:tr>
        <w:tc>
          <w:tcPr>
            <w:tcW w:type="dxa" w:w="2480"/>
          </w:tcPr>
          <w:p>
            <w:r>
              <w:t>Query parameters</w:t>
            </w:r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</w:tr>
      <w:tr>
        <w:tc>
          <w:tcPr>
            <w:tcW w:type="dxa" w:w="2480"/>
          </w:tcPr>
          <w:p>
            <w:r>
              <w:t>Request media type/body</w:t>
            </w:r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</w:tr>
      <w:tr>
        <w:tc>
          <w:tcPr>
            <w:tcW w:type="dxa" w:w="2480"/>
          </w:tcPr>
          <w:p>
            <w:r>
              <w:t>Status</w:t>
            </w:r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</w:tr>
      <w:tr>
        <w:tc>
          <w:tcPr>
            <w:tcW w:type="dxa" w:w="2480"/>
          </w:tcPr>
          <w:p>
            <w:r>
              <w:t>Response media type</w:t>
            </w:r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</w:tr>
      <w:tr>
        <w:tc>
          <w:tcPr>
            <w:tcW w:type="dxa" w:w="2480"/>
          </w:tcPr>
          <w:p>
            <w:r>
              <w:t>Relevant header</w:t>
            </w:r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</w:tr>
      <w:tr>
        <w:tc>
          <w:tcPr>
            <w:tcW w:type="dxa" w:w="2480"/>
          </w:tcPr>
          <w:p>
            <w:r>
              <w:t>Representation and limit</w:t>
            </w:r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  <w:tc>
          <w:tcPr>
            <w:tcW w:type="dxa" w:w="2480"/>
          </w:tcPr>
          <w:p>
            <w:r/>
          </w:p>
        </w:tc>
      </w:tr>
    </w:tbl>
    <w:p>
      <w:r>
        <w:t>Only case-report.json is editable. A CSS fetch returning 200 does not prove stylesheet application. Record supplied evidence honestly.</w:t>
      </w:r>
    </w:p>
    <w:p>
      <w:r>
        <w:br w:type="page"/>
      </w:r>
    </w:p>
    <w:p>
      <w:pPr>
        <w:pStyle w:val="Heading1"/>
      </w:pPr>
      <w:r>
        <w:t>P02: route contract, tests and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/>
        </w:trPr>
        <w:tc>
          <w:tcPr>
            <w:tcW w:type="dxa" w:w="3307"/>
            <w:shd w:fill="E5EEF4"/>
          </w:tcPr>
          <w:p>
            <w:r>
              <w:rPr>
                <w:b/>
              </w:rPr>
              <w:t>Input suffix</w:t>
            </w:r>
          </w:p>
        </w:tc>
        <w:tc>
          <w:tcPr>
            <w:tcW w:type="dxa" w:w="3307"/>
            <w:shd w:fill="E5EEF4"/>
          </w:tcPr>
          <w:p>
            <w:r>
              <w:rPr>
                <w:b/>
              </w:rPr>
              <w:t>Prospective status/body</w:t>
            </w:r>
          </w:p>
        </w:tc>
        <w:tc>
          <w:tcPr>
            <w:tcW w:type="dxa" w:w="3307"/>
            <w:shd w:fill="E5EEF4"/>
          </w:tcPr>
          <w:p>
            <w:r>
              <w:rPr>
                <w:b/>
              </w:rPr>
              <w:t>Observed result</w:t>
            </w:r>
          </w:p>
        </w:tc>
      </w:tr>
      <w:tr>
        <w:tc>
          <w:tcPr>
            <w:tcW w:type="dxa" w:w="3307"/>
          </w:tcPr>
          <w:p>
            <w:r>
              <w:t>/api/greetings/Ada</w:t>
            </w:r>
          </w:p>
        </w:tc>
        <w:tc>
          <w:tcPr>
            <w:tcW w:type="dxa" w:w="3307"/>
          </w:tcPr>
          <w:p>
            <w:r/>
          </w:p>
        </w:tc>
        <w:tc>
          <w:tcPr>
            <w:tcW w:type="dxa" w:w="3307"/>
          </w:tcPr>
          <w:p>
            <w:r/>
          </w:p>
        </w:tc>
      </w:tr>
      <w:tr>
        <w:tc>
          <w:tcPr>
            <w:tcW w:type="dxa" w:w="3307"/>
          </w:tcPr>
          <w:p>
            <w:r>
              <w:t>/api/greetings/Ada%20Lovelace</w:t>
            </w:r>
          </w:p>
        </w:tc>
        <w:tc>
          <w:tcPr>
            <w:tcW w:type="dxa" w:w="3307"/>
          </w:tcPr>
          <w:p>
            <w:r/>
          </w:p>
        </w:tc>
        <w:tc>
          <w:tcPr>
            <w:tcW w:type="dxa" w:w="3307"/>
          </w:tcPr>
          <w:p>
            <w:r/>
          </w:p>
        </w:tc>
      </w:tr>
      <w:tr>
        <w:tc>
          <w:tcPr>
            <w:tcW w:type="dxa" w:w="3307"/>
          </w:tcPr>
          <w:p>
            <w:r>
              <w:t>/api/greetings/%20%20</w:t>
            </w:r>
          </w:p>
        </w:tc>
        <w:tc>
          <w:tcPr>
            <w:tcW w:type="dxa" w:w="3307"/>
          </w:tcPr>
          <w:p>
            <w:r/>
          </w:p>
        </w:tc>
        <w:tc>
          <w:tcPr>
            <w:tcW w:type="dxa" w:w="3307"/>
          </w:tcPr>
          <w:p>
            <w:r/>
          </w:p>
        </w:tc>
      </w:tr>
      <w:tr>
        <w:tc>
          <w:tcPr>
            <w:tcW w:type="dxa" w:w="3307"/>
          </w:tcPr>
          <w:p>
            <w:r>
              <w:t>/api/greetings/Ada/extra</w:t>
            </w:r>
          </w:p>
        </w:tc>
        <w:tc>
          <w:tcPr>
            <w:tcW w:type="dxa" w:w="3307"/>
          </w:tcPr>
          <w:p>
            <w:r/>
          </w:p>
        </w:tc>
        <w:tc>
          <w:tcPr>
            <w:tcW w:type="dxa" w:w="3307"/>
          </w:tcPr>
          <w:p>
            <w:r/>
          </w:p>
        </w:tc>
      </w:tr>
    </w:tbl>
    <w:p>
      <w:pPr>
        <w:spacing w:after="40"/>
      </w:pPr>
      <w:r>
        <w:rPr>
          <w:b/>
        </w:rPr>
        <w:t>Mechanism: prefix, one literal segment, decoding, trim and response shape.</w:t>
      </w:r>
    </w:p>
    <w:p>
      <w:pPr>
        <w:spacing w:after="40"/>
      </w:pPr>
      <w:r>
        <w:br/>
        <w:br/>
      </w:r>
    </w:p>
    <w:p>
      <w:pPr>
        <w:spacing w:after="40"/>
      </w:pPr>
      <w:r>
        <w:rPr>
          <w:b/>
        </w:rPr>
        <w:t>Tests: initial or complete mode; actual Node/npm; named result and limitation.</w:t>
      </w:r>
    </w:p>
    <w:p>
      <w:pPr>
        <w:spacing w:after="40"/>
      </w:pPr>
      <w:r>
        <w:br/>
      </w:r>
    </w:p>
    <w:p>
      <w:pPr>
        <w:spacing w:after="40"/>
      </w:pPr>
      <w:r>
        <w:rPr>
          <w:b/>
        </w:rPr>
        <w:t>Gemini: one claim, two independent counterexamples and verdict.</w:t>
      </w:r>
    </w:p>
    <w:p>
      <w:pPr>
        <w:spacing w:after="40"/>
      </w:pPr>
      <w:r>
        <w:br/>
        <w:br/>
      </w:r>
    </w:p>
    <w:p>
      <w:pPr>
        <w:spacing w:after="40"/>
      </w:pPr>
      <w:r>
        <w:rPr>
          <w:b/>
        </w:rPr>
        <w:t>Exit ticket: claim → evidence → limit. Actual work state and owned-session status.</w:t>
      </w:r>
    </w:p>
    <w:p>
      <w:pPr>
        <w:spacing w:after="40"/>
      </w:pPr>
      <w:r>
        <w:br/>
      </w:r>
    </w:p>
    <w:p>
      <w:r>
        <w:t>At T60 stop new technical work. Transfer your evidence into FORM_S01_EN_GB, reconfirm the declaration and submit one PDF only.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S01 ·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WEB TECHNOLOGIES 2026  /  S01  /  6.1.0 FINAL LOCAL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 — Experiment worksheet</dc:title>
  <dc:subject>S01 v6.1.0 Phase 2 build candidate</dc:subject>
  <dc:creator>WebTech_ASE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