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S13 — Guided Service Worker Lifecycle Trace</w:t>
      </w:r>
    </w:p>
    <w:p>
      <w:pPr>
        <w:jc w:val="center"/>
      </w:pPr>
      <w:r>
        <w:rPr>
          <w:i/>
        </w:rPr>
        <w:t>P02 guided demonstration · no full implementation requirement</w:t>
      </w:r>
    </w:p>
    <w:p>
      <w:pPr>
        <w:jc w:val="center"/>
      </w:pPr>
      <w:r>
        <w:rPr>
          <w:b/>
          <w:color w:val="096978"/>
        </w:rPr>
        <w:t>WEB TECHNOLOGIES 2026 · WIP/PREVIEW</w:t>
      </w:r>
    </w:p>
    <w:p>
      <w:pPr>
        <w:pStyle w:val="Heading1"/>
        <w:keepNext/>
      </w:pPr>
      <w:r>
        <w:t>Record the lifecycle, not a slogan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1701"/>
            <w:shd w:fill="D9EA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3969"/>
            <w:shd w:fill="D9EA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3969"/>
            <w:shd w:fill="D9EA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Permitted conclusion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Registered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Was registration attempted and resolved?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A registration exists.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Active/ready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Is a worker active and ready?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The worker exists and may receive messages.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Controlled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Does navigator.serviceWorker.controller identify the controller for this page?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The current client is controlled.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Uncontrolled fallback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What direct request occurs?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A direct fallback was observed in the stated evidence class.</w:t>
            </w:r>
          </w:p>
        </w:tc>
      </w:tr>
    </w:tbl>
    <w:p>
      <w:pPr>
        <w:pStyle w:val="Heading1"/>
        <w:keepNext/>
      </w:pPr>
      <w:r>
        <w:t>Trace fields</w:t>
      </w:r>
    </w:p>
    <w:p>
      <w:pPr>
        <w:pStyle w:val="ListNumber"/>
      </w:pPr>
      <w:r>
        <w:t>Control state and evidence class.</w:t>
      </w:r>
    </w:p>
    <w:p>
      <w:pPr>
        <w:pStyle w:val="ListNumber"/>
      </w:pPr>
      <w:r>
        <w:t>Eligible same-origin GET target.</w:t>
      </w:r>
    </w:p>
    <w:p>
      <w:pPr>
        <w:pStyle w:val="ListNumber"/>
      </w:pPr>
      <w:r>
        <w:t>Uncontrolled direct fallback.</w:t>
      </w:r>
    </w:p>
    <w:p>
      <w:pPr>
        <w:pStyle w:val="ListNumber"/>
      </w:pPr>
      <w:r>
        <w:t>Exact source and protocol-version checks.</w:t>
      </w:r>
    </w:p>
    <w:p>
      <w:pPr>
        <w:pStyle w:val="ListNumber"/>
      </w:pPr>
      <w:r>
        <w:t>Controller-change effect on pending work.</w:t>
      </w:r>
    </w:p>
    <w:p>
      <w:pPr>
        <w:pStyle w:val="ListNumber"/>
      </w:pPr>
      <w:r>
        <w:t>Remaining limitation, especially absent native-browser evidence.</w:t>
      </w:r>
    </w:p>
    <w:p>
      <w:pPr>
        <w:pStyle w:val="Heading1"/>
        <w:keepNext/>
      </w:pPr>
      <w:r>
        <w:t>Do not claim</w:t>
      </w:r>
    </w:p>
    <w:p>
      <w:pPr>
        <w:pStyle w:val="ListBullet"/>
      </w:pPr>
      <w:r>
        <w:t>An active registration automatically controls the current page.</w:t>
      </w:r>
    </w:p>
    <w:p>
      <w:pPr>
        <w:pStyle w:val="ListBullet"/>
      </w:pPr>
      <w:r>
        <w:t>A fake container is a native Service Worker.</w:t>
      </w:r>
    </w:p>
    <w:p>
      <w:pPr>
        <w:pStyle w:val="ListBullet"/>
      </w:pPr>
      <w:r>
        <w:t>A source/version check proves every payload field.</w:t>
      </w:r>
    </w:p>
    <w:p>
      <w:pPr>
        <w:pStyle w:val="ListBullet"/>
      </w:pPr>
      <w:r>
        <w:t>A successful model proves offline completeness or production caching.</w:t>
      </w:r>
    </w:p>
    <w:sectPr w:rsidR="00FC693F" w:rsidRPr="0006063C" w:rsidSect="00034616">
      <w:footerReference w:type="default" r:id="rId9"/>
      <w:pgSz w:w="12240" w:h="15840"/>
      <w:pgMar w:top="879" w:right="964" w:bottom="879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WEB TECHNOLOGIES 2026 · S13 · WIP/PREVIEW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