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S13 — Regression Harness Launch</w:t>
      </w:r>
    </w:p>
    <w:p>
      <w:pPr>
        <w:jc w:val="center"/>
      </w:pPr>
      <w:r>
        <w:rPr>
          <w:i/>
        </w:rPr>
        <w:t>Required portfolio hand-off · completed before S14</w:t>
      </w:r>
    </w:p>
    <w:p>
      <w:pPr>
        <w:jc w:val="center"/>
      </w:pPr>
      <w:r>
        <w:rPr>
          <w:b/>
          <w:color w:val="096978"/>
        </w:rPr>
        <w:t>WEB TECHNOLOGIES 2026 · WIP/PREVIEW</w:t>
      </w:r>
    </w:p>
    <w:p>
      <w:pPr>
        <w:pStyle w:val="Heading1"/>
        <w:keepNext/>
      </w:pPr>
      <w:r>
        <w:t>Launch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7370"/>
            <w:shd w:fill="D9EA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Required draft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Package locator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Exact package ID and assessed path.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Target contract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One behaviour of the release-checklist system.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Test matrix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At least one unit, integration and HTTP contract.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Mutation candidate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One seeded defect and the assertion intended to kill it.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Outstanding work</w:t>
            </w:r>
          </w:p>
        </w:tc>
        <w:tc>
          <w:tcPr>
            <w:tcW w:type="dxa" w:w="737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remains before S14.</w:t>
            </w:r>
          </w:p>
        </w:tc>
      </w:tr>
    </w:tbl>
    <w:p>
      <w:pPr>
        <w:pStyle w:val="Heading1"/>
        <w:keepNext/>
      </w:pPr>
      <w:r>
        <w:t>Boundary</w:t>
      </w:r>
    </w:p>
    <w:p>
      <w:r>
        <w:t>This launch does not claim that the complete harness, repeated-run cleanup or the four-mutation matrix has passed. It records a defensible starting point and prevents the portfolio from being compressed into the final five minutes of S13.</w:t>
      </w:r>
    </w:p>
    <w:sectPr w:rsidR="00FC693F" w:rsidRPr="0006063C" w:rsidSect="00034616">
      <w:footerReference w:type="default" r:id="rId9"/>
      <w:pgSz w:w="12240" w:h="15840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WEB TECHNOLOGIES 2026 · S13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